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6446A" w14:textId="77777777" w:rsidR="000E491A" w:rsidRDefault="000E491A" w:rsidP="00CF7379">
      <w:pPr>
        <w:tabs>
          <w:tab w:val="left" w:pos="426"/>
        </w:tabs>
        <w:rPr>
          <w:rStyle w:val="s0"/>
        </w:rPr>
      </w:pPr>
    </w:p>
    <w:p w14:paraId="6517F380" w14:textId="77777777" w:rsidR="00137371" w:rsidRDefault="000E491A" w:rsidP="00137371">
      <w:pPr>
        <w:ind w:firstLine="709"/>
        <w:jc w:val="center"/>
        <w:rPr>
          <w:b/>
          <w:sz w:val="28"/>
          <w:szCs w:val="28"/>
        </w:rPr>
      </w:pPr>
      <w:r w:rsidRPr="00DD576A">
        <w:rPr>
          <w:rStyle w:val="s0"/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DD576A">
        <w:rPr>
          <w:rStyle w:val="s0"/>
          <w:b/>
          <w:sz w:val="28"/>
          <w:szCs w:val="28"/>
        </w:rPr>
        <w:t xml:space="preserve">                   </w:t>
      </w:r>
      <w:r w:rsidR="00A30B46" w:rsidRPr="00DD576A">
        <w:rPr>
          <w:rStyle w:val="s0"/>
          <w:b/>
          <w:sz w:val="28"/>
          <w:szCs w:val="28"/>
        </w:rPr>
        <w:t xml:space="preserve"> </w:t>
      </w:r>
      <w:r w:rsidR="00137371">
        <w:rPr>
          <w:b/>
          <w:sz w:val="28"/>
          <w:szCs w:val="28"/>
        </w:rPr>
        <w:t xml:space="preserve">                                                                         </w:t>
      </w:r>
      <w:r w:rsidR="00137371">
        <w:rPr>
          <w:b/>
          <w:sz w:val="28"/>
          <w:szCs w:val="28"/>
        </w:rPr>
        <w:t xml:space="preserve">           </w:t>
      </w:r>
    </w:p>
    <w:p w14:paraId="66E9EDAE" w14:textId="44F95671" w:rsidR="00137371" w:rsidRDefault="00137371" w:rsidP="00137371">
      <w:pPr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>Утвержден приказом генерального директора</w:t>
      </w:r>
    </w:p>
    <w:p w14:paraId="375026DF" w14:textId="2C760AA3" w:rsidR="00137371" w:rsidRDefault="00137371" w:rsidP="00137371">
      <w:pPr>
        <w:tabs>
          <w:tab w:val="left" w:pos="1134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РГП на ПХВ «РВЛ» КВК и Н МСХ РК</w:t>
      </w:r>
    </w:p>
    <w:p w14:paraId="18EFF9C1" w14:textId="77777777" w:rsidR="00137371" w:rsidRDefault="00137371" w:rsidP="00137371">
      <w:pPr>
        <w:tabs>
          <w:tab w:val="left" w:pos="11340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от «13» февраля 2026 года за №54-Н</w:t>
      </w:r>
    </w:p>
    <w:p w14:paraId="758B7969" w14:textId="494D1231" w:rsidR="00A30B46" w:rsidRDefault="00A30B46" w:rsidP="006A7F3F">
      <w:pPr>
        <w:rPr>
          <w:rStyle w:val="s0"/>
          <w:b/>
          <w:sz w:val="28"/>
          <w:szCs w:val="28"/>
        </w:rPr>
      </w:pPr>
    </w:p>
    <w:p w14:paraId="7BD5414C" w14:textId="1344316E" w:rsidR="00981F3B" w:rsidRPr="00DD576A" w:rsidRDefault="006A7F3F" w:rsidP="00651AE6">
      <w:pPr>
        <w:rPr>
          <w:b/>
          <w:color w:val="auto"/>
          <w:sz w:val="28"/>
          <w:szCs w:val="28"/>
        </w:rPr>
      </w:pPr>
      <w:r>
        <w:rPr>
          <w:rStyle w:val="s0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14:paraId="3F36F679" w14:textId="77777777" w:rsidR="000E491A" w:rsidRPr="00DD576A" w:rsidRDefault="000E491A">
      <w:pPr>
        <w:rPr>
          <w:sz w:val="28"/>
          <w:szCs w:val="28"/>
        </w:rPr>
      </w:pPr>
    </w:p>
    <w:p w14:paraId="3A9A4F28" w14:textId="77777777" w:rsidR="006340A0" w:rsidRDefault="006340A0"/>
    <w:p w14:paraId="4CDB8B25" w14:textId="77777777" w:rsidR="00F874A1" w:rsidRPr="00A30B46" w:rsidRDefault="00981F3B">
      <w:pPr>
        <w:jc w:val="center"/>
        <w:rPr>
          <w:rStyle w:val="s1"/>
          <w:sz w:val="28"/>
          <w:szCs w:val="28"/>
        </w:rPr>
      </w:pPr>
      <w:r w:rsidRPr="00A30B46">
        <w:rPr>
          <w:rStyle w:val="s1"/>
          <w:sz w:val="28"/>
          <w:szCs w:val="28"/>
        </w:rPr>
        <w:t>План мероприятий</w:t>
      </w:r>
      <w:r w:rsidRPr="00A30B46">
        <w:rPr>
          <w:rStyle w:val="s1"/>
          <w:sz w:val="28"/>
          <w:szCs w:val="28"/>
        </w:rPr>
        <w:br/>
      </w:r>
      <w:r w:rsidR="002B2748" w:rsidRPr="00A30B46">
        <w:rPr>
          <w:rStyle w:val="s1"/>
          <w:sz w:val="28"/>
          <w:szCs w:val="28"/>
        </w:rPr>
        <w:t>РГП на ПХВ «Республиканская ветеринарная лаборатория» КВК</w:t>
      </w:r>
      <w:r w:rsidR="00307845" w:rsidRPr="00A30B46">
        <w:rPr>
          <w:rStyle w:val="s1"/>
          <w:sz w:val="28"/>
          <w:szCs w:val="28"/>
        </w:rPr>
        <w:t xml:space="preserve"> </w:t>
      </w:r>
      <w:r w:rsidR="002B2748" w:rsidRPr="00A30B46">
        <w:rPr>
          <w:rStyle w:val="s1"/>
          <w:sz w:val="28"/>
          <w:szCs w:val="28"/>
        </w:rPr>
        <w:t>и</w:t>
      </w:r>
      <w:r w:rsidR="00307845" w:rsidRPr="00A30B46">
        <w:rPr>
          <w:rStyle w:val="s1"/>
          <w:sz w:val="28"/>
          <w:szCs w:val="28"/>
        </w:rPr>
        <w:t xml:space="preserve"> </w:t>
      </w:r>
      <w:r w:rsidR="002B2748" w:rsidRPr="00A30B46">
        <w:rPr>
          <w:rStyle w:val="s1"/>
          <w:sz w:val="28"/>
          <w:szCs w:val="28"/>
        </w:rPr>
        <w:t>Н МСХ РК</w:t>
      </w:r>
      <w:r w:rsidR="00F874A1" w:rsidRPr="00A30B46">
        <w:rPr>
          <w:rStyle w:val="s1"/>
          <w:sz w:val="28"/>
          <w:szCs w:val="28"/>
        </w:rPr>
        <w:t xml:space="preserve"> </w:t>
      </w:r>
    </w:p>
    <w:p w14:paraId="1D75ED93" w14:textId="7B9866B1" w:rsidR="00981F3B" w:rsidRDefault="00F874A1">
      <w:pPr>
        <w:jc w:val="center"/>
        <w:rPr>
          <w:rStyle w:val="s1"/>
          <w:sz w:val="28"/>
          <w:szCs w:val="28"/>
        </w:rPr>
      </w:pPr>
      <w:r w:rsidRPr="00A30B46">
        <w:rPr>
          <w:rStyle w:val="s1"/>
          <w:sz w:val="28"/>
          <w:szCs w:val="28"/>
        </w:rPr>
        <w:t xml:space="preserve">по </w:t>
      </w:r>
      <w:r w:rsidR="00A30B46">
        <w:rPr>
          <w:rStyle w:val="s1"/>
          <w:sz w:val="28"/>
          <w:szCs w:val="28"/>
        </w:rPr>
        <w:t xml:space="preserve">линии </w:t>
      </w:r>
      <w:r w:rsidRPr="00A30B46">
        <w:rPr>
          <w:rStyle w:val="s1"/>
          <w:sz w:val="28"/>
          <w:szCs w:val="28"/>
        </w:rPr>
        <w:t>противодействи</w:t>
      </w:r>
      <w:r w:rsidR="00A30B46">
        <w:rPr>
          <w:rStyle w:val="s1"/>
          <w:sz w:val="28"/>
          <w:szCs w:val="28"/>
        </w:rPr>
        <w:t>я</w:t>
      </w:r>
      <w:r w:rsidRPr="00A30B46">
        <w:rPr>
          <w:rStyle w:val="s1"/>
          <w:sz w:val="28"/>
          <w:szCs w:val="28"/>
        </w:rPr>
        <w:t xml:space="preserve"> коррупции </w:t>
      </w:r>
      <w:r w:rsidR="00981F3B" w:rsidRPr="00A30B46">
        <w:rPr>
          <w:rStyle w:val="s1"/>
          <w:sz w:val="28"/>
          <w:szCs w:val="28"/>
        </w:rPr>
        <w:t>на 20</w:t>
      </w:r>
      <w:r w:rsidR="00BC7395" w:rsidRPr="00A30B46">
        <w:rPr>
          <w:rStyle w:val="s1"/>
          <w:sz w:val="28"/>
          <w:szCs w:val="28"/>
        </w:rPr>
        <w:t>2</w:t>
      </w:r>
      <w:r w:rsidR="006A7F3F">
        <w:rPr>
          <w:rStyle w:val="s1"/>
          <w:sz w:val="28"/>
          <w:szCs w:val="28"/>
        </w:rPr>
        <w:t>6</w:t>
      </w:r>
      <w:r w:rsidR="00981F3B" w:rsidRPr="00A30B46">
        <w:rPr>
          <w:rStyle w:val="s1"/>
          <w:sz w:val="28"/>
          <w:szCs w:val="28"/>
        </w:rPr>
        <w:t xml:space="preserve"> год </w:t>
      </w:r>
    </w:p>
    <w:p w14:paraId="5027DFCB" w14:textId="77777777" w:rsidR="00430457" w:rsidRDefault="00430457">
      <w:pPr>
        <w:jc w:val="center"/>
        <w:rPr>
          <w:rStyle w:val="s1"/>
          <w:sz w:val="28"/>
          <w:szCs w:val="28"/>
        </w:rPr>
      </w:pPr>
    </w:p>
    <w:p w14:paraId="24C13BD9" w14:textId="77777777" w:rsidR="00430457" w:rsidRPr="00430457" w:rsidRDefault="00E36151" w:rsidP="004304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r w:rsidR="00430457">
        <w:rPr>
          <w:sz w:val="28"/>
          <w:szCs w:val="28"/>
        </w:rPr>
        <w:t>К</w:t>
      </w:r>
      <w:r w:rsidR="00430457" w:rsidRPr="00430457">
        <w:rPr>
          <w:sz w:val="28"/>
          <w:szCs w:val="28"/>
        </w:rPr>
        <w:t>омплаенс-службы направлен</w:t>
      </w:r>
      <w:r>
        <w:rPr>
          <w:sz w:val="28"/>
          <w:szCs w:val="28"/>
        </w:rPr>
        <w:t xml:space="preserve">а </w:t>
      </w:r>
      <w:r w:rsidR="00430457" w:rsidRPr="0043045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соблюдение субъектом </w:t>
      </w:r>
      <w:proofErr w:type="spellStart"/>
      <w:r>
        <w:rPr>
          <w:sz w:val="28"/>
          <w:szCs w:val="28"/>
        </w:rPr>
        <w:t>квазигосударственного</w:t>
      </w:r>
      <w:proofErr w:type="spellEnd"/>
      <w:r>
        <w:rPr>
          <w:sz w:val="28"/>
          <w:szCs w:val="28"/>
        </w:rPr>
        <w:t xml:space="preserve"> сектора и его работниками законодательства РК о противодействии коррупции, мониторинг мероприятий, </w:t>
      </w:r>
      <w:r w:rsidR="00430457" w:rsidRPr="00430457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="00430457" w:rsidRPr="00430457">
        <w:rPr>
          <w:sz w:val="28"/>
          <w:szCs w:val="28"/>
        </w:rPr>
        <w:t xml:space="preserve"> качества</w:t>
      </w:r>
      <w:r>
        <w:rPr>
          <w:sz w:val="28"/>
          <w:szCs w:val="28"/>
        </w:rPr>
        <w:t xml:space="preserve"> и</w:t>
      </w:r>
      <w:r w:rsidR="00430457" w:rsidRPr="00430457">
        <w:rPr>
          <w:sz w:val="28"/>
          <w:szCs w:val="28"/>
        </w:rPr>
        <w:t xml:space="preserve"> полноты </w:t>
      </w:r>
      <w:r w:rsidR="00430457">
        <w:rPr>
          <w:sz w:val="28"/>
          <w:szCs w:val="28"/>
        </w:rPr>
        <w:t xml:space="preserve">по вопросам Антикоррупционной </w:t>
      </w:r>
      <w:r w:rsidR="003552D9">
        <w:rPr>
          <w:sz w:val="28"/>
          <w:szCs w:val="28"/>
        </w:rPr>
        <w:t>политики</w:t>
      </w:r>
      <w:r w:rsidR="00430457">
        <w:rPr>
          <w:sz w:val="28"/>
          <w:szCs w:val="28"/>
        </w:rPr>
        <w:t xml:space="preserve"> </w:t>
      </w:r>
      <w:r w:rsidR="00430457" w:rsidRPr="00430457">
        <w:rPr>
          <w:sz w:val="28"/>
          <w:szCs w:val="28"/>
        </w:rPr>
        <w:t>на Предприятии</w:t>
      </w:r>
      <w:r w:rsidR="00430457">
        <w:rPr>
          <w:sz w:val="28"/>
          <w:szCs w:val="28"/>
        </w:rPr>
        <w:t>, а также выявления возможных фактов коррупционных рисков.</w:t>
      </w:r>
    </w:p>
    <w:p w14:paraId="2421CA27" w14:textId="77777777" w:rsidR="00430457" w:rsidRPr="00430457" w:rsidRDefault="00430457" w:rsidP="00430457">
      <w:pPr>
        <w:ind w:firstLine="709"/>
        <w:jc w:val="both"/>
        <w:rPr>
          <w:sz w:val="28"/>
          <w:szCs w:val="28"/>
        </w:rPr>
      </w:pPr>
      <w:r w:rsidRPr="00430457">
        <w:rPr>
          <w:sz w:val="28"/>
          <w:szCs w:val="28"/>
        </w:rPr>
        <w:t xml:space="preserve">При проведении данной работы </w:t>
      </w:r>
      <w:r>
        <w:rPr>
          <w:sz w:val="28"/>
          <w:szCs w:val="28"/>
        </w:rPr>
        <w:t>К</w:t>
      </w:r>
      <w:r w:rsidRPr="00430457">
        <w:rPr>
          <w:sz w:val="28"/>
          <w:szCs w:val="28"/>
        </w:rPr>
        <w:t>омплаенс-служба руководствуется:</w:t>
      </w:r>
    </w:p>
    <w:p w14:paraId="3F54F73C" w14:textId="77777777" w:rsidR="00430457" w:rsidRPr="00430457" w:rsidRDefault="00430457" w:rsidP="001E6E39">
      <w:pPr>
        <w:jc w:val="both"/>
        <w:rPr>
          <w:sz w:val="28"/>
          <w:szCs w:val="28"/>
        </w:rPr>
      </w:pPr>
      <w:r w:rsidRPr="00430457">
        <w:rPr>
          <w:sz w:val="28"/>
          <w:szCs w:val="28"/>
        </w:rPr>
        <w:t>1) Конституцией Республики Казахстан;</w:t>
      </w:r>
    </w:p>
    <w:p w14:paraId="399D940F" w14:textId="77777777" w:rsidR="00430457" w:rsidRPr="00430457" w:rsidRDefault="00430457" w:rsidP="001E6E39">
      <w:pPr>
        <w:jc w:val="both"/>
        <w:rPr>
          <w:sz w:val="28"/>
          <w:szCs w:val="28"/>
        </w:rPr>
      </w:pPr>
      <w:r w:rsidRPr="00430457">
        <w:rPr>
          <w:sz w:val="28"/>
          <w:szCs w:val="28"/>
        </w:rPr>
        <w:t>2) Законом «О противодействии коррупции»;</w:t>
      </w:r>
    </w:p>
    <w:p w14:paraId="6D45E66D" w14:textId="77777777" w:rsidR="00E36151" w:rsidRDefault="00E36151" w:rsidP="001E6E39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E361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 об антикоррупционных комплаенс-службах в субъектах </w:t>
      </w:r>
      <w:proofErr w:type="spellStart"/>
      <w:r>
        <w:rPr>
          <w:sz w:val="28"/>
          <w:szCs w:val="28"/>
        </w:rPr>
        <w:t>квазигосударственного</w:t>
      </w:r>
      <w:proofErr w:type="spellEnd"/>
      <w:r>
        <w:rPr>
          <w:sz w:val="28"/>
          <w:szCs w:val="28"/>
        </w:rPr>
        <w:t xml:space="preserve"> сектора;</w:t>
      </w:r>
    </w:p>
    <w:p w14:paraId="2DA5E1C7" w14:textId="77777777" w:rsidR="00430457" w:rsidRPr="00430457" w:rsidRDefault="00E36151" w:rsidP="001E6E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552D9">
        <w:rPr>
          <w:sz w:val="28"/>
          <w:szCs w:val="28"/>
        </w:rPr>
        <w:t>П</w:t>
      </w:r>
      <w:r w:rsidR="00430457" w:rsidRPr="00430457">
        <w:rPr>
          <w:sz w:val="28"/>
          <w:szCs w:val="28"/>
        </w:rPr>
        <w:t>равилами проведения внутреннего анализа коррупционных рисков;</w:t>
      </w:r>
    </w:p>
    <w:p w14:paraId="4FD364A3" w14:textId="77777777" w:rsidR="00430457" w:rsidRPr="00430457" w:rsidRDefault="00E36151" w:rsidP="001E6E3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30457" w:rsidRPr="00430457">
        <w:rPr>
          <w:sz w:val="28"/>
          <w:szCs w:val="28"/>
        </w:rPr>
        <w:t>) иными правовыми актами</w:t>
      </w:r>
      <w:r w:rsidR="00183E47">
        <w:rPr>
          <w:sz w:val="28"/>
          <w:szCs w:val="28"/>
        </w:rPr>
        <w:t xml:space="preserve"> РК</w:t>
      </w:r>
      <w:r w:rsidR="00430457" w:rsidRPr="00430457">
        <w:rPr>
          <w:sz w:val="28"/>
          <w:szCs w:val="28"/>
        </w:rPr>
        <w:t>.</w:t>
      </w:r>
    </w:p>
    <w:p w14:paraId="7BC896C8" w14:textId="77777777" w:rsidR="00DD576A" w:rsidRPr="00A30B46" w:rsidRDefault="00DD576A">
      <w:pPr>
        <w:jc w:val="center"/>
        <w:rPr>
          <w:sz w:val="28"/>
          <w:szCs w:val="28"/>
        </w:rPr>
      </w:pPr>
    </w:p>
    <w:p w14:paraId="594D6121" w14:textId="77777777" w:rsidR="00981F3B" w:rsidRPr="00A146CB" w:rsidRDefault="00981F3B">
      <w:pPr>
        <w:jc w:val="center"/>
      </w:pPr>
      <w:r w:rsidRPr="00A146CB">
        <w:rPr>
          <w:color w:val="auto"/>
        </w:rPr>
        <w:t> </w:t>
      </w:r>
    </w:p>
    <w:tbl>
      <w:tblPr>
        <w:tblW w:w="512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733"/>
        <w:gridCol w:w="3029"/>
        <w:gridCol w:w="2673"/>
        <w:gridCol w:w="3650"/>
        <w:gridCol w:w="1568"/>
      </w:tblGrid>
      <w:tr w:rsidR="008D75D4" w:rsidRPr="00A146CB" w14:paraId="324BADE9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40D2D" w14:textId="77777777" w:rsidR="00981F3B" w:rsidRPr="00A146CB" w:rsidRDefault="00981F3B" w:rsidP="006340A0">
            <w:pPr>
              <w:jc w:val="center"/>
              <w:rPr>
                <w:b/>
              </w:rPr>
            </w:pPr>
            <w:r w:rsidRPr="00A146CB">
              <w:rPr>
                <w:rStyle w:val="s0"/>
                <w:b/>
              </w:rPr>
              <w:t>№ п/п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A3730" w14:textId="77777777" w:rsidR="00981F3B" w:rsidRPr="00A146CB" w:rsidRDefault="00A146CB" w:rsidP="006340A0">
            <w:pPr>
              <w:jc w:val="center"/>
              <w:rPr>
                <w:b/>
              </w:rPr>
            </w:pPr>
            <w:r>
              <w:rPr>
                <w:rStyle w:val="s0"/>
                <w:b/>
              </w:rPr>
              <w:t>Содержание мероприятия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FCFD" w14:textId="77777777" w:rsidR="00981F3B" w:rsidRPr="00A146CB" w:rsidRDefault="00981F3B" w:rsidP="006340A0">
            <w:pPr>
              <w:jc w:val="center"/>
              <w:rPr>
                <w:b/>
              </w:rPr>
            </w:pPr>
            <w:r w:rsidRPr="00A146CB">
              <w:rPr>
                <w:rStyle w:val="s0"/>
                <w:b/>
              </w:rPr>
              <w:t>Срок исполнения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3381" w14:textId="77777777" w:rsidR="00981F3B" w:rsidRPr="00A146CB" w:rsidRDefault="00981F3B" w:rsidP="006340A0">
            <w:pPr>
              <w:jc w:val="center"/>
              <w:rPr>
                <w:b/>
              </w:rPr>
            </w:pPr>
            <w:r w:rsidRPr="00A146CB">
              <w:rPr>
                <w:rStyle w:val="s0"/>
                <w:b/>
              </w:rPr>
              <w:t>Форма завершения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9B2E" w14:textId="77777777" w:rsidR="00981F3B" w:rsidRPr="00A146CB" w:rsidRDefault="00981F3B" w:rsidP="006340A0">
            <w:pPr>
              <w:jc w:val="center"/>
              <w:rPr>
                <w:b/>
              </w:rPr>
            </w:pPr>
            <w:r w:rsidRPr="00A146CB">
              <w:rPr>
                <w:rStyle w:val="s0"/>
                <w:b/>
              </w:rPr>
              <w:t>Ответственн</w:t>
            </w:r>
            <w:r w:rsidR="006027CC" w:rsidRPr="00A146CB">
              <w:rPr>
                <w:rStyle w:val="s0"/>
                <w:b/>
              </w:rPr>
              <w:t>ое подразделение</w:t>
            </w:r>
            <w:r w:rsidR="00A146CB">
              <w:rPr>
                <w:rStyle w:val="s0"/>
                <w:b/>
              </w:rPr>
              <w:t xml:space="preserve">/должностное лицо </w:t>
            </w:r>
            <w:r w:rsidRPr="00A146CB">
              <w:rPr>
                <w:rStyle w:val="s0"/>
                <w:b/>
              </w:rPr>
              <w:t>за исполнение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6F9D8" w14:textId="77777777" w:rsidR="00981F3B" w:rsidRPr="00A146CB" w:rsidRDefault="00981F3B" w:rsidP="006340A0">
            <w:pPr>
              <w:jc w:val="center"/>
              <w:rPr>
                <w:b/>
              </w:rPr>
            </w:pPr>
            <w:r w:rsidRPr="00A146CB">
              <w:rPr>
                <w:rStyle w:val="s0"/>
                <w:b/>
              </w:rPr>
              <w:t>Примечание</w:t>
            </w:r>
          </w:p>
        </w:tc>
      </w:tr>
      <w:tr w:rsidR="008D75D4" w:rsidRPr="00A146CB" w14:paraId="7B9E2D45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8057" w14:textId="77777777" w:rsidR="00981F3B" w:rsidRPr="00A146CB" w:rsidRDefault="00981F3B" w:rsidP="006027CC">
            <w:pPr>
              <w:jc w:val="center"/>
              <w:rPr>
                <w:b/>
              </w:rPr>
            </w:pPr>
            <w:r w:rsidRPr="00A146CB">
              <w:rPr>
                <w:rStyle w:val="s0"/>
                <w:b/>
              </w:rPr>
              <w:t>1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4206" w14:textId="77777777" w:rsidR="00981F3B" w:rsidRPr="00A146CB" w:rsidRDefault="00981F3B" w:rsidP="006027CC">
            <w:pPr>
              <w:jc w:val="center"/>
              <w:rPr>
                <w:b/>
              </w:rPr>
            </w:pPr>
            <w:r w:rsidRPr="00A146CB">
              <w:rPr>
                <w:rStyle w:val="s0"/>
                <w:b/>
              </w:rPr>
              <w:t>2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CD7C5" w14:textId="77777777" w:rsidR="00981F3B" w:rsidRPr="00A146CB" w:rsidRDefault="00981F3B" w:rsidP="006027CC">
            <w:pPr>
              <w:jc w:val="center"/>
              <w:rPr>
                <w:b/>
              </w:rPr>
            </w:pPr>
            <w:r w:rsidRPr="00A146CB">
              <w:rPr>
                <w:rStyle w:val="s0"/>
                <w:b/>
              </w:rPr>
              <w:t>3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5026" w14:textId="77777777" w:rsidR="00981F3B" w:rsidRPr="00A146CB" w:rsidRDefault="00981F3B" w:rsidP="006027CC">
            <w:pPr>
              <w:jc w:val="center"/>
              <w:rPr>
                <w:b/>
              </w:rPr>
            </w:pPr>
            <w:r w:rsidRPr="00A146CB">
              <w:rPr>
                <w:rStyle w:val="s0"/>
                <w:b/>
              </w:rPr>
              <w:t>4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8265" w14:textId="77777777" w:rsidR="00981F3B" w:rsidRPr="00A146CB" w:rsidRDefault="00981F3B" w:rsidP="006027CC">
            <w:pPr>
              <w:jc w:val="center"/>
              <w:rPr>
                <w:b/>
              </w:rPr>
            </w:pPr>
            <w:r w:rsidRPr="00A146CB">
              <w:rPr>
                <w:rStyle w:val="s0"/>
                <w:b/>
              </w:rPr>
              <w:t>5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82632" w14:textId="77777777" w:rsidR="00981F3B" w:rsidRPr="00A146CB" w:rsidRDefault="00981F3B" w:rsidP="006027CC">
            <w:pPr>
              <w:jc w:val="center"/>
              <w:rPr>
                <w:b/>
                <w:color w:val="auto"/>
              </w:rPr>
            </w:pPr>
          </w:p>
        </w:tc>
      </w:tr>
      <w:tr w:rsidR="002C654B" w:rsidRPr="00A146CB" w14:paraId="4F7C4021" w14:textId="77777777" w:rsidTr="00183E47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B997D" w14:textId="77777777" w:rsidR="00981F3B" w:rsidRPr="000E491A" w:rsidRDefault="00981F3B" w:rsidP="006027CC">
            <w:pPr>
              <w:jc w:val="center"/>
              <w:rPr>
                <w:b/>
                <w:i/>
              </w:rPr>
            </w:pPr>
          </w:p>
        </w:tc>
      </w:tr>
      <w:tr w:rsidR="002F71D1" w:rsidRPr="00A146CB" w14:paraId="28075187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053B" w14:textId="77777777" w:rsidR="002F71D1" w:rsidRPr="00A146CB" w:rsidRDefault="002F71D1" w:rsidP="002F71D1">
            <w:pPr>
              <w:jc w:val="center"/>
            </w:pPr>
            <w:r w:rsidRPr="00F33E5C">
              <w:rPr>
                <w:rStyle w:val="s0"/>
              </w:rPr>
              <w:t>1.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A111" w14:textId="27FE4105" w:rsidR="002F71D1" w:rsidRPr="00A146CB" w:rsidRDefault="002F71D1" w:rsidP="002F71D1">
            <w:pPr>
              <w:tabs>
                <w:tab w:val="left" w:pos="1134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Принятие мер по внедрению антикоррупционного стандарта ИСО-37001 – системы </w:t>
            </w:r>
            <w:r>
              <w:rPr>
                <w:color w:val="auto"/>
              </w:rPr>
              <w:lastRenderedPageBreak/>
              <w:t xml:space="preserve">менеджмента борьбы со взяточничеством в рамках протокольного совещания при Министре сельского хозяйства </w:t>
            </w:r>
            <w:r w:rsidR="00A42B93">
              <w:rPr>
                <w:color w:val="auto"/>
              </w:rPr>
              <w:t>(</w:t>
            </w:r>
            <w:r w:rsidR="001A75AE">
              <w:rPr>
                <w:color w:val="auto"/>
              </w:rPr>
              <w:t>Заявка ТРУ на 2026 год от 20.12.2025</w:t>
            </w:r>
            <w:r w:rsidR="00A42B93">
              <w:rPr>
                <w:color w:val="auto"/>
              </w:rPr>
              <w:t>)</w:t>
            </w:r>
            <w:r>
              <w:rPr>
                <w:color w:val="auto"/>
              </w:rPr>
              <w:t xml:space="preserve">          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F419" w14:textId="77777777" w:rsidR="002F71D1" w:rsidRPr="00A146CB" w:rsidRDefault="002F71D1" w:rsidP="002F71D1">
            <w:pPr>
              <w:jc w:val="center"/>
            </w:pPr>
            <w:r>
              <w:rPr>
                <w:rStyle w:val="s0"/>
              </w:rPr>
              <w:lastRenderedPageBreak/>
              <w:t>В течении года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44B6" w14:textId="77777777" w:rsidR="002F71D1" w:rsidRPr="00A146CB" w:rsidRDefault="002F71D1" w:rsidP="002F71D1">
            <w:pPr>
              <w:jc w:val="center"/>
            </w:pPr>
            <w:r>
              <w:t>Информация</w:t>
            </w:r>
            <w:r w:rsidRPr="00A146CB">
              <w:t xml:space="preserve"> Генеральному </w:t>
            </w:r>
            <w:r w:rsidRPr="00A146CB">
              <w:lastRenderedPageBreak/>
              <w:t>директору</w:t>
            </w:r>
            <w:r>
              <w:t>, КВК и Н, МСХ РК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AEDF6" w14:textId="77777777" w:rsidR="002F71D1" w:rsidRPr="003E077E" w:rsidRDefault="002F71D1" w:rsidP="002F71D1">
            <w:pPr>
              <w:jc w:val="center"/>
            </w:pPr>
            <w:r w:rsidRPr="003E077E">
              <w:lastRenderedPageBreak/>
              <w:t>Комплаенс-служба</w:t>
            </w:r>
          </w:p>
          <w:p w14:paraId="6577A2F3" w14:textId="77777777" w:rsidR="002F71D1" w:rsidRPr="003E077E" w:rsidRDefault="002F71D1" w:rsidP="002F71D1">
            <w:pPr>
              <w:jc w:val="center"/>
            </w:pP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210A" w14:textId="77777777" w:rsidR="002F71D1" w:rsidRPr="00A146CB" w:rsidRDefault="002F71D1" w:rsidP="002F71D1">
            <w:pPr>
              <w:jc w:val="center"/>
            </w:pPr>
          </w:p>
        </w:tc>
      </w:tr>
      <w:tr w:rsidR="005318DD" w:rsidRPr="00A146CB" w14:paraId="2C4EB9F6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F7A2A" w14:textId="77777777" w:rsidR="005318DD" w:rsidRPr="00A146CB" w:rsidRDefault="005318DD" w:rsidP="005318DD">
            <w:r>
              <w:rPr>
                <w:rStyle w:val="s0"/>
              </w:rPr>
              <w:t xml:space="preserve">    </w:t>
            </w:r>
            <w:r w:rsidRPr="00A146CB">
              <w:rPr>
                <w:rStyle w:val="s0"/>
              </w:rPr>
              <w:t>2.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E7A19" w14:textId="77777777" w:rsidR="005318DD" w:rsidRPr="00A146CB" w:rsidRDefault="005318DD" w:rsidP="005318DD">
            <w:r>
              <w:t xml:space="preserve">Совершенствование правовой пропаганды по </w:t>
            </w:r>
            <w:r w:rsidRPr="00A146CB">
              <w:t>изменени</w:t>
            </w:r>
            <w:r>
              <w:t>ям</w:t>
            </w:r>
            <w:r w:rsidRPr="00A146CB">
              <w:t xml:space="preserve"> действующего законодательства в области противодействия коррупции</w:t>
            </w:r>
            <w:r>
              <w:t>, координация работы по снижению коррупционных рисков в деятельности Предприятия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C694" w14:textId="77777777" w:rsidR="005318DD" w:rsidRPr="00A146CB" w:rsidRDefault="005318DD" w:rsidP="005318DD">
            <w:pPr>
              <w:jc w:val="center"/>
            </w:pPr>
            <w:r w:rsidRPr="00A146CB">
              <w:t>Еже</w:t>
            </w:r>
            <w:r>
              <w:t>квартально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1020" w14:textId="77777777" w:rsidR="005318DD" w:rsidRPr="00A146CB" w:rsidRDefault="005318DD" w:rsidP="005318DD">
            <w:pPr>
              <w:jc w:val="center"/>
            </w:pPr>
            <w:r w:rsidRPr="00A146CB">
              <w:rPr>
                <w:rStyle w:val="s0"/>
              </w:rPr>
              <w:t>Анализ законодательства РК</w:t>
            </w:r>
            <w:r>
              <w:rPr>
                <w:rStyle w:val="s0"/>
              </w:rPr>
              <w:t xml:space="preserve"> и иных нормативных актов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9F47" w14:textId="77777777" w:rsidR="005318DD" w:rsidRDefault="005318DD" w:rsidP="005318DD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Комплаенс-служба</w:t>
            </w:r>
          </w:p>
          <w:p w14:paraId="28531FD1" w14:textId="77777777" w:rsidR="005318DD" w:rsidRPr="00A146CB" w:rsidRDefault="005318DD" w:rsidP="005318DD">
            <w:pPr>
              <w:jc w:val="center"/>
            </w:pPr>
            <w:r>
              <w:rPr>
                <w:rStyle w:val="s0"/>
              </w:rPr>
              <w:t xml:space="preserve"> Отдел правового обеспечения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512C" w14:textId="77777777" w:rsidR="005318DD" w:rsidRPr="00A146CB" w:rsidRDefault="005318DD" w:rsidP="005318DD">
            <w:pPr>
              <w:jc w:val="center"/>
            </w:pPr>
          </w:p>
        </w:tc>
      </w:tr>
      <w:tr w:rsidR="005318DD" w:rsidRPr="00A146CB" w14:paraId="09784A98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D5F3" w14:textId="77777777" w:rsidR="005318DD" w:rsidRPr="00A146CB" w:rsidRDefault="005318DD" w:rsidP="005318DD">
            <w:pPr>
              <w:jc w:val="center"/>
            </w:pPr>
            <w:r w:rsidRPr="00A146CB">
              <w:rPr>
                <w:rStyle w:val="s0"/>
              </w:rPr>
              <w:t>3.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C556" w14:textId="77777777" w:rsidR="005318DD" w:rsidRPr="00A146CB" w:rsidRDefault="005318DD" w:rsidP="005318DD">
            <w:r>
              <w:rPr>
                <w:rStyle w:val="s0"/>
              </w:rPr>
              <w:t xml:space="preserve">Проведение семинаров с руководителями и работниками СП ЦА по вопросам антикоррупционной культуры и развития корпоративных этических ценностей 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B49F7" w14:textId="77777777" w:rsidR="005318DD" w:rsidRPr="00A146CB" w:rsidRDefault="005318DD" w:rsidP="005318DD">
            <w:pPr>
              <w:jc w:val="center"/>
            </w:pPr>
            <w:r>
              <w:t>ежеквартально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346A" w14:textId="77777777" w:rsidR="005318DD" w:rsidRPr="00A146CB" w:rsidRDefault="005318DD" w:rsidP="005318DD">
            <w:pPr>
              <w:jc w:val="center"/>
            </w:pPr>
            <w:r>
              <w:t>Протокола собраний, семинаров, круглых столов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9C60" w14:textId="77777777" w:rsidR="005318DD" w:rsidRDefault="005318DD" w:rsidP="005318DD">
            <w:pPr>
              <w:jc w:val="center"/>
            </w:pPr>
            <w:r>
              <w:t>Комплаенс-служба</w:t>
            </w:r>
          </w:p>
          <w:p w14:paraId="704FEEDB" w14:textId="77777777" w:rsidR="005318DD" w:rsidRPr="00A146CB" w:rsidRDefault="005318DD" w:rsidP="005318DD">
            <w:pPr>
              <w:jc w:val="center"/>
            </w:pP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3B8C" w14:textId="77777777" w:rsidR="005318DD" w:rsidRPr="00A146CB" w:rsidRDefault="005318DD" w:rsidP="005318DD">
            <w:pPr>
              <w:jc w:val="center"/>
            </w:pPr>
          </w:p>
        </w:tc>
      </w:tr>
      <w:tr w:rsidR="005318DD" w:rsidRPr="00A146CB" w14:paraId="3217E95C" w14:textId="77777777" w:rsidTr="00183E47">
        <w:trPr>
          <w:trHeight w:val="60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26FCD" w14:textId="77777777" w:rsidR="005318DD" w:rsidRPr="000E491A" w:rsidRDefault="005318DD" w:rsidP="005318DD">
            <w:pPr>
              <w:jc w:val="center"/>
              <w:rPr>
                <w:b/>
                <w:i/>
              </w:rPr>
            </w:pPr>
          </w:p>
        </w:tc>
      </w:tr>
      <w:tr w:rsidR="005318DD" w:rsidRPr="00A146CB" w14:paraId="7BD651E2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38C0" w14:textId="77777777" w:rsidR="005318DD" w:rsidRPr="00A146CB" w:rsidRDefault="005318DD" w:rsidP="005318DD">
            <w:pPr>
              <w:jc w:val="center"/>
            </w:pPr>
            <w:r>
              <w:rPr>
                <w:rStyle w:val="s0"/>
              </w:rPr>
              <w:t>4</w:t>
            </w:r>
            <w:r w:rsidRPr="00A146CB"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FEC8" w14:textId="77777777" w:rsidR="00A21F58" w:rsidRDefault="005318DD" w:rsidP="00A21F58">
            <w:pPr>
              <w:rPr>
                <w:rStyle w:val="s0"/>
              </w:rPr>
            </w:pPr>
            <w:r>
              <w:rPr>
                <w:rStyle w:val="s0"/>
                <w:color w:val="auto"/>
              </w:rPr>
              <w:t>П</w:t>
            </w:r>
            <w:r w:rsidRPr="00303E20">
              <w:rPr>
                <w:rStyle w:val="s0"/>
                <w:color w:val="auto"/>
              </w:rPr>
              <w:t>рием граждан</w:t>
            </w:r>
            <w:r>
              <w:rPr>
                <w:rStyle w:val="s0"/>
                <w:color w:val="auto"/>
              </w:rPr>
              <w:t xml:space="preserve">, работников Предприятия, филиалов по </w:t>
            </w:r>
            <w:r w:rsidR="00A21F58">
              <w:rPr>
                <w:rStyle w:val="s0"/>
                <w:color w:val="auto"/>
              </w:rPr>
              <w:t xml:space="preserve">обращениям, жалобам по </w:t>
            </w:r>
            <w:r>
              <w:rPr>
                <w:rStyle w:val="s0"/>
                <w:color w:val="auto"/>
              </w:rPr>
              <w:t>коррупционным вопросам</w:t>
            </w:r>
            <w:r w:rsidR="00A21F58">
              <w:rPr>
                <w:rStyle w:val="s0"/>
                <w:color w:val="auto"/>
              </w:rPr>
              <w:t>,</w:t>
            </w:r>
            <w:r w:rsidR="00A21F58">
              <w:rPr>
                <w:rStyle w:val="s0"/>
              </w:rPr>
              <w:t xml:space="preserve"> о</w:t>
            </w:r>
            <w:r w:rsidR="00A21F58" w:rsidRPr="00A146CB">
              <w:rPr>
                <w:rStyle w:val="s0"/>
              </w:rPr>
              <w:t>беспечение работы телефона доверия</w:t>
            </w:r>
            <w:r w:rsidR="00A21F58">
              <w:rPr>
                <w:rStyle w:val="s0"/>
              </w:rPr>
              <w:t xml:space="preserve"> 8(7172) 91 63 04</w:t>
            </w:r>
            <w:r w:rsidR="00A21F58" w:rsidRPr="00A146CB">
              <w:t xml:space="preserve"> </w:t>
            </w:r>
            <w:r w:rsidR="00A21F58">
              <w:rPr>
                <w:rStyle w:val="s0"/>
              </w:rPr>
              <w:t xml:space="preserve"> </w:t>
            </w:r>
            <w:r w:rsidR="00A21F58" w:rsidRPr="00A146CB">
              <w:rPr>
                <w:rStyle w:val="s0"/>
              </w:rPr>
              <w:t xml:space="preserve"> Предприятия</w:t>
            </w:r>
            <w:r w:rsidR="00A21F58">
              <w:rPr>
                <w:rStyle w:val="s0"/>
              </w:rPr>
              <w:t xml:space="preserve"> по ЦА и филиалам </w:t>
            </w:r>
          </w:p>
          <w:p w14:paraId="6ED4211C" w14:textId="77777777" w:rsidR="005318DD" w:rsidRPr="00303E20" w:rsidRDefault="005318DD" w:rsidP="00A21F58">
            <w:pPr>
              <w:rPr>
                <w:color w:val="auto"/>
              </w:rPr>
            </w:pP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22EF" w14:textId="77777777" w:rsidR="005318DD" w:rsidRPr="00A146CB" w:rsidRDefault="005318DD" w:rsidP="005318DD">
            <w:pPr>
              <w:jc w:val="center"/>
            </w:pPr>
            <w:r w:rsidRPr="00A146CB">
              <w:t>Постоянно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1D17" w14:textId="77777777" w:rsidR="005318DD" w:rsidRPr="00A146CB" w:rsidRDefault="00A21F58" w:rsidP="00A21F58">
            <w:pPr>
              <w:jc w:val="center"/>
            </w:pPr>
            <w:r>
              <w:rPr>
                <w:rStyle w:val="s0"/>
              </w:rPr>
              <w:t>прием обращений, проведение служебных проверок, подготовка информации для принятия решения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D545" w14:textId="77777777" w:rsidR="005318DD" w:rsidRDefault="005318DD" w:rsidP="005318DD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Генеральный директор, заместитель Генерального директора,</w:t>
            </w:r>
          </w:p>
          <w:p w14:paraId="113E90B6" w14:textId="77777777" w:rsidR="005318DD" w:rsidRDefault="005318DD" w:rsidP="005318DD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Комплаенс-служба</w:t>
            </w:r>
            <w:r w:rsidR="00A21F58">
              <w:rPr>
                <w:rStyle w:val="s0"/>
              </w:rPr>
              <w:t xml:space="preserve">, </w:t>
            </w:r>
            <w:proofErr w:type="spellStart"/>
            <w:r w:rsidR="00A21F58">
              <w:rPr>
                <w:rStyle w:val="s0"/>
              </w:rPr>
              <w:t>ООи</w:t>
            </w:r>
            <w:proofErr w:type="spellEnd"/>
            <w:r w:rsidR="00A21F58">
              <w:rPr>
                <w:rStyle w:val="s0"/>
              </w:rPr>
              <w:t xml:space="preserve"> КР, директора филиалов</w:t>
            </w:r>
          </w:p>
          <w:p w14:paraId="28424506" w14:textId="77777777" w:rsidR="005318DD" w:rsidRPr="00A146CB" w:rsidRDefault="005318DD" w:rsidP="005318DD">
            <w:pPr>
              <w:jc w:val="center"/>
            </w:pPr>
            <w:r>
              <w:rPr>
                <w:rStyle w:val="s0"/>
              </w:rPr>
              <w:t xml:space="preserve"> 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C5C8" w14:textId="77777777" w:rsidR="005318DD" w:rsidRPr="00A146CB" w:rsidRDefault="005318DD" w:rsidP="005318DD">
            <w:pPr>
              <w:jc w:val="center"/>
            </w:pPr>
          </w:p>
        </w:tc>
      </w:tr>
      <w:tr w:rsidR="00A21F58" w:rsidRPr="00A146CB" w14:paraId="49C74CF6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4F33" w14:textId="77777777" w:rsidR="00A21F58" w:rsidRPr="00A146CB" w:rsidRDefault="00A21F58" w:rsidP="00A21F58">
            <w:pPr>
              <w:jc w:val="center"/>
            </w:pPr>
            <w:r>
              <w:t>5.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3A5B" w14:textId="77777777" w:rsidR="00A21F58" w:rsidRPr="00A146CB" w:rsidRDefault="00A21F58" w:rsidP="00A21F58">
            <w:pPr>
              <w:rPr>
                <w:rStyle w:val="s0"/>
              </w:rPr>
            </w:pPr>
            <w:r>
              <w:rPr>
                <w:rStyle w:val="s0"/>
              </w:rPr>
              <w:t xml:space="preserve">Обеспечить исполнение протокольных совещаний, указаний МСХ РК, КВК и Н по линии АКП. 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A54D" w14:textId="77777777" w:rsidR="00A21F58" w:rsidRPr="00A146CB" w:rsidRDefault="00A21F58" w:rsidP="00A21F58">
            <w:pPr>
              <w:jc w:val="center"/>
            </w:pPr>
            <w:r>
              <w:t>на постоянной основе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4588E" w14:textId="77777777" w:rsidR="00A21F58" w:rsidRPr="00A146CB" w:rsidRDefault="00A21F58" w:rsidP="00A21F58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Протокол совещания, выработанные предложения и замечания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3AC4" w14:textId="77777777" w:rsidR="00A21F58" w:rsidRDefault="00A21F58" w:rsidP="00A21F58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Комплаенс-служба</w:t>
            </w:r>
          </w:p>
          <w:p w14:paraId="642962B8" w14:textId="77777777" w:rsidR="00A21F58" w:rsidRPr="00A146CB" w:rsidRDefault="00A21F58" w:rsidP="00A21F58">
            <w:pPr>
              <w:jc w:val="center"/>
            </w:pP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0DCE" w14:textId="77777777" w:rsidR="00A21F58" w:rsidRPr="00A146CB" w:rsidRDefault="00A21F58" w:rsidP="00A21F58">
            <w:pPr>
              <w:jc w:val="center"/>
            </w:pPr>
          </w:p>
        </w:tc>
      </w:tr>
      <w:tr w:rsidR="00A21F58" w:rsidRPr="00A146CB" w14:paraId="5980BEA5" w14:textId="77777777" w:rsidTr="00CF7379">
        <w:trPr>
          <w:trHeight w:val="2717"/>
        </w:trPr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04AE3" w14:textId="77777777" w:rsidR="00A21F58" w:rsidRPr="00A146CB" w:rsidRDefault="00A21F58" w:rsidP="00A21F58">
            <w:pPr>
              <w:jc w:val="center"/>
            </w:pPr>
            <w:r>
              <w:rPr>
                <w:rStyle w:val="s0"/>
              </w:rPr>
              <w:lastRenderedPageBreak/>
              <w:t>6</w:t>
            </w:r>
            <w:r w:rsidRPr="00A146CB"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D848" w14:textId="41B31E45" w:rsidR="00A21F58" w:rsidRPr="00A146CB" w:rsidRDefault="00A21F58" w:rsidP="00A42B93">
            <w:r>
              <w:t xml:space="preserve">Осуществление служебных командировок в рамках проведения тематических проверок по областным и региональным филиалам по отдельным вопросам ФХД </w:t>
            </w:r>
            <w:r w:rsidRPr="00B93915">
              <w:rPr>
                <w:i/>
              </w:rPr>
              <w:t>(в рамках выявления возможных коррупционных рисков в служебной деятельности филиалов)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718B4" w14:textId="2152F2D8" w:rsidR="00A21F58" w:rsidRPr="00A146CB" w:rsidRDefault="00A21F58" w:rsidP="00A21F58">
            <w:pPr>
              <w:jc w:val="center"/>
            </w:pPr>
            <w:r>
              <w:t>Согласно утвержденного плана мероприятий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5D00" w14:textId="77777777" w:rsidR="00A21F58" w:rsidRPr="00A146CB" w:rsidRDefault="00A21F58" w:rsidP="00A21F58">
            <w:pPr>
              <w:jc w:val="center"/>
            </w:pPr>
            <w:r>
              <w:t>Обобщенная справка по итогам проверки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B97E7" w14:textId="77777777" w:rsidR="00A21F58" w:rsidRPr="00A146CB" w:rsidRDefault="00A21F58" w:rsidP="00A21F58">
            <w:pPr>
              <w:jc w:val="center"/>
            </w:pPr>
            <w:r>
              <w:t>Комплаенс-служба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36A9" w14:textId="77777777" w:rsidR="00A21F58" w:rsidRPr="00A146CB" w:rsidRDefault="00A21F58" w:rsidP="00A21F58">
            <w:pPr>
              <w:jc w:val="center"/>
            </w:pPr>
          </w:p>
        </w:tc>
      </w:tr>
      <w:tr w:rsidR="005270DF" w:rsidRPr="00A146CB" w14:paraId="67EEE23F" w14:textId="77777777" w:rsidTr="00CF7379">
        <w:trPr>
          <w:trHeight w:val="2109"/>
        </w:trPr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A432" w14:textId="77777777" w:rsidR="005270DF" w:rsidRPr="00A146CB" w:rsidRDefault="005270DF" w:rsidP="005270DF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7</w:t>
            </w:r>
            <w:r w:rsidRPr="00A146CB"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ED5B" w14:textId="77777777" w:rsidR="005270DF" w:rsidRPr="00A146CB" w:rsidRDefault="005270DF" w:rsidP="005270DF">
            <w:r>
              <w:t>Соблюдение Алгоритма действий, утвержденного приказом Министра сельского хозяйства № 66 от 05.03.21г. «О дополнительных мерах по противодействию коррупции в системе Министерства»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71B5" w14:textId="77777777" w:rsidR="005270DF" w:rsidRPr="00A146CB" w:rsidRDefault="005270DF" w:rsidP="005270DF">
            <w:pPr>
              <w:jc w:val="center"/>
            </w:pPr>
            <w:r w:rsidRPr="00A146CB">
              <w:rPr>
                <w:rStyle w:val="s0"/>
              </w:rPr>
              <w:t>Постоянно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08B1" w14:textId="77777777" w:rsidR="005270DF" w:rsidRPr="00A146CB" w:rsidRDefault="005270DF" w:rsidP="005270DF">
            <w:pPr>
              <w:jc w:val="center"/>
            </w:pPr>
            <w:r w:rsidRPr="00A146CB">
              <w:rPr>
                <w:rStyle w:val="s0"/>
              </w:rPr>
              <w:t xml:space="preserve">Информация </w:t>
            </w:r>
            <w:r>
              <w:t>в КВК и Н, МСХ РК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4345" w14:textId="77777777" w:rsidR="005270DF" w:rsidRPr="00A146CB" w:rsidRDefault="005270DF" w:rsidP="005270DF">
            <w:pPr>
              <w:jc w:val="center"/>
            </w:pPr>
            <w:r>
              <w:rPr>
                <w:rStyle w:val="s0"/>
              </w:rPr>
              <w:t>Комплаенс-служба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8728" w14:textId="77777777" w:rsidR="005270DF" w:rsidRPr="00A146CB" w:rsidRDefault="005270DF" w:rsidP="005270DF">
            <w:pPr>
              <w:jc w:val="center"/>
            </w:pPr>
          </w:p>
        </w:tc>
      </w:tr>
      <w:tr w:rsidR="005270DF" w:rsidRPr="00F115A0" w14:paraId="19480381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A671F" w14:textId="77777777" w:rsidR="005270DF" w:rsidRDefault="005270DF" w:rsidP="005270DF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8.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011A" w14:textId="77777777" w:rsidR="005270DF" w:rsidRPr="00F115A0" w:rsidRDefault="005270DF" w:rsidP="005270DF">
            <w:r w:rsidRPr="00F115A0">
              <w:t>Осуществление тематических проверок отдельных вопросов финансово-хозяйственной деятельности СП ЦА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316A" w14:textId="063B0CCF" w:rsidR="005270DF" w:rsidRPr="00F115A0" w:rsidRDefault="005270DF" w:rsidP="005270DF">
            <w:pPr>
              <w:jc w:val="center"/>
            </w:pPr>
            <w:r w:rsidRPr="00F115A0">
              <w:t>Согласно утвержденного плана мероприятий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89B9" w14:textId="77777777" w:rsidR="005270DF" w:rsidRPr="00F115A0" w:rsidRDefault="005270DF" w:rsidP="005270DF">
            <w:pPr>
              <w:jc w:val="center"/>
            </w:pPr>
            <w:r w:rsidRPr="00F115A0">
              <w:t>Обобщенная справка по итогам проверки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4C5B" w14:textId="77777777" w:rsidR="005270DF" w:rsidRPr="00F115A0" w:rsidRDefault="005270DF" w:rsidP="005270DF">
            <w:pPr>
              <w:jc w:val="center"/>
            </w:pPr>
            <w:r w:rsidRPr="00F115A0">
              <w:t>Комплаенс-служба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2A36" w14:textId="77777777" w:rsidR="005270DF" w:rsidRPr="00F115A0" w:rsidRDefault="005270DF" w:rsidP="005270DF">
            <w:pPr>
              <w:jc w:val="center"/>
            </w:pPr>
          </w:p>
        </w:tc>
      </w:tr>
      <w:tr w:rsidR="005270DF" w:rsidRPr="00A146CB" w14:paraId="0EFA59CB" w14:textId="77777777" w:rsidTr="00CF7379">
        <w:trPr>
          <w:trHeight w:val="1249"/>
        </w:trPr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33F1" w14:textId="77777777" w:rsidR="005270DF" w:rsidRPr="00F115A0" w:rsidRDefault="005270DF" w:rsidP="005270DF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9</w:t>
            </w:r>
            <w:r w:rsidRPr="00F115A0"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9AB6" w14:textId="073CDC42" w:rsidR="005270DF" w:rsidRPr="00F115A0" w:rsidRDefault="00CF7379" w:rsidP="00C73BED">
            <w:pPr>
              <w:rPr>
                <w:rStyle w:val="s0"/>
              </w:rPr>
            </w:pPr>
            <w:r>
              <w:rPr>
                <w:rStyle w:val="s0"/>
                <w:lang w:val="kk-KZ"/>
              </w:rPr>
              <w:t>П</w:t>
            </w:r>
            <w:r w:rsidR="001A75AE" w:rsidRPr="00F115A0">
              <w:rPr>
                <w:rStyle w:val="s0"/>
              </w:rPr>
              <w:t>предоста</w:t>
            </w:r>
            <w:r w:rsidR="001A75AE">
              <w:rPr>
                <w:rStyle w:val="s0"/>
              </w:rPr>
              <w:t>вление</w:t>
            </w:r>
            <w:r w:rsidR="005270DF" w:rsidRPr="00F115A0">
              <w:rPr>
                <w:rStyle w:val="s0"/>
              </w:rPr>
              <w:t xml:space="preserve"> детальны</w:t>
            </w:r>
            <w:r w:rsidR="00C73BED">
              <w:rPr>
                <w:rStyle w:val="s0"/>
              </w:rPr>
              <w:t>х</w:t>
            </w:r>
            <w:r w:rsidR="005270DF" w:rsidRPr="00F115A0">
              <w:rPr>
                <w:rStyle w:val="s0"/>
              </w:rPr>
              <w:t xml:space="preserve"> план</w:t>
            </w:r>
            <w:r w:rsidR="00C73BED">
              <w:rPr>
                <w:rStyle w:val="s0"/>
              </w:rPr>
              <w:t>ов</w:t>
            </w:r>
            <w:r w:rsidR="005270DF" w:rsidRPr="00F115A0">
              <w:rPr>
                <w:rStyle w:val="s0"/>
              </w:rPr>
              <w:t xml:space="preserve"> работ по противодействию кор</w:t>
            </w:r>
            <w:r w:rsidR="00A42B93">
              <w:rPr>
                <w:rStyle w:val="s0"/>
              </w:rPr>
              <w:t>рупции с разбивкой</w:t>
            </w:r>
            <w:r w:rsidR="005270DF" w:rsidRPr="00F115A0">
              <w:rPr>
                <w:rStyle w:val="s0"/>
              </w:rPr>
              <w:t xml:space="preserve"> ежеквартальной отчетности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2330" w14:textId="4D384EBC" w:rsidR="005270DF" w:rsidRPr="00F115A0" w:rsidRDefault="005270DF" w:rsidP="00A42B93">
            <w:pPr>
              <w:jc w:val="center"/>
            </w:pPr>
            <w:r w:rsidRPr="00F115A0">
              <w:t xml:space="preserve">До </w:t>
            </w:r>
            <w:r w:rsidR="00A42B93">
              <w:t>20</w:t>
            </w:r>
            <w:r w:rsidRPr="00F115A0">
              <w:t xml:space="preserve"> января 202</w:t>
            </w:r>
            <w:r w:rsidR="00A42B93">
              <w:t>6</w:t>
            </w:r>
            <w:r w:rsidRPr="00F115A0">
              <w:t xml:space="preserve"> года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D801" w14:textId="745ADFE0" w:rsidR="005270DF" w:rsidRPr="00F115A0" w:rsidRDefault="005270DF" w:rsidP="00A42B93">
            <w:pPr>
              <w:rPr>
                <w:rStyle w:val="s0"/>
              </w:rPr>
            </w:pPr>
            <w:r w:rsidRPr="00F115A0">
              <w:rPr>
                <w:rStyle w:val="s0"/>
              </w:rPr>
              <w:t>Планы работ на 202</w:t>
            </w:r>
            <w:r w:rsidR="00A42B93">
              <w:rPr>
                <w:rStyle w:val="s0"/>
              </w:rPr>
              <w:t>6</w:t>
            </w:r>
            <w:r w:rsidRPr="00F115A0">
              <w:rPr>
                <w:rStyle w:val="s0"/>
              </w:rPr>
              <w:t xml:space="preserve"> год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89F5" w14:textId="77777777" w:rsidR="005270DF" w:rsidRPr="00F115A0" w:rsidRDefault="005270DF" w:rsidP="005270DF">
            <w:pPr>
              <w:jc w:val="center"/>
            </w:pPr>
            <w:r>
              <w:t>руководители СП ЦА, д</w:t>
            </w:r>
            <w:r w:rsidRPr="00F115A0">
              <w:t>иректора филиалов</w:t>
            </w:r>
            <w:r>
              <w:t xml:space="preserve"> (</w:t>
            </w:r>
            <w:r w:rsidRPr="00F115A0">
              <w:t>инспектора по кадровой работе, юристы отдельных филиалов</w:t>
            </w:r>
            <w:r>
              <w:t>)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75EB" w14:textId="77777777" w:rsidR="005270DF" w:rsidRPr="00A146CB" w:rsidRDefault="005270DF" w:rsidP="005270DF">
            <w:pPr>
              <w:jc w:val="center"/>
              <w:rPr>
                <w:rStyle w:val="s0"/>
              </w:rPr>
            </w:pPr>
          </w:p>
        </w:tc>
      </w:tr>
      <w:tr w:rsidR="005270DF" w:rsidRPr="00A146CB" w14:paraId="32236F04" w14:textId="77777777" w:rsidTr="00CF7379">
        <w:trPr>
          <w:trHeight w:val="1831"/>
        </w:trPr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374AD" w14:textId="77777777" w:rsidR="005270DF" w:rsidRPr="00A146CB" w:rsidRDefault="005270DF" w:rsidP="005270DF">
            <w:pPr>
              <w:jc w:val="center"/>
            </w:pPr>
            <w:r>
              <w:rPr>
                <w:rStyle w:val="s0"/>
              </w:rPr>
              <w:t>10</w:t>
            </w:r>
            <w:r w:rsidRPr="00A146CB"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D69B" w14:textId="77777777" w:rsidR="005270DF" w:rsidRPr="005270DF" w:rsidRDefault="005270DF" w:rsidP="005270DF">
            <w:r w:rsidRPr="005270DF">
              <w:t>Проведение совещаний по антикоррупционной тематике областными и региональными филиалами с участием подведомственных районных РВЛ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D645" w14:textId="3B45BAB7" w:rsidR="005270DF" w:rsidRPr="009E70F1" w:rsidRDefault="005270DF" w:rsidP="00A42B93">
            <w:pPr>
              <w:jc w:val="center"/>
              <w:rPr>
                <w:i/>
              </w:rPr>
            </w:pPr>
            <w:r w:rsidRPr="009E70F1">
              <w:t>ежеквартально</w:t>
            </w:r>
            <w:r w:rsidRPr="009E70F1">
              <w:rPr>
                <w:i/>
              </w:rPr>
              <w:t xml:space="preserve"> 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E65D" w14:textId="77777777" w:rsidR="005270DF" w:rsidRPr="005270DF" w:rsidRDefault="005270DF" w:rsidP="005270DF">
            <w:pPr>
              <w:jc w:val="center"/>
            </w:pPr>
            <w:r w:rsidRPr="005270DF">
              <w:t>Протокола совещаний</w:t>
            </w:r>
            <w:r>
              <w:t xml:space="preserve"> (листы ознакомлений руководителей и работников)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5AB2" w14:textId="3064153F" w:rsidR="005270DF" w:rsidRPr="005270DF" w:rsidRDefault="005270DF" w:rsidP="005270DF">
            <w:pPr>
              <w:jc w:val="center"/>
            </w:pPr>
            <w:r w:rsidRPr="005270DF">
              <w:t>Директора филиалов, инспектора по кадровой работе</w:t>
            </w:r>
            <w:r>
              <w:t>, юристы филиалов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417F" w14:textId="77777777" w:rsidR="005270DF" w:rsidRPr="005270DF" w:rsidRDefault="005270DF" w:rsidP="005270DF">
            <w:pPr>
              <w:jc w:val="center"/>
            </w:pPr>
          </w:p>
        </w:tc>
      </w:tr>
      <w:tr w:rsidR="005270DF" w:rsidRPr="00A146CB" w14:paraId="7DFDDD4A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CA0B" w14:textId="77777777" w:rsidR="005270DF" w:rsidRPr="001C5D38" w:rsidRDefault="00EF2C52" w:rsidP="005270DF">
            <w:pPr>
              <w:jc w:val="center"/>
              <w:rPr>
                <w:highlight w:val="yellow"/>
              </w:rPr>
            </w:pPr>
            <w:r w:rsidRPr="00EF2C52">
              <w:lastRenderedPageBreak/>
              <w:t>11.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B674" w14:textId="77777777" w:rsidR="005270DF" w:rsidRPr="005270DF" w:rsidRDefault="00EF2C52" w:rsidP="00EF2C52">
            <w:r>
              <w:t xml:space="preserve">В рамках поручения КВК и Н МСХ РК на основании письма АП РК провести анализ ВНД, регламентов, положений, форм отчетности и т.п. в рамках ранее представленной таблицы 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4B4C" w14:textId="5421260C" w:rsidR="005270DF" w:rsidRPr="005270DF" w:rsidRDefault="00EF2C52" w:rsidP="00A42B93">
            <w:pPr>
              <w:jc w:val="center"/>
            </w:pPr>
            <w:r>
              <w:t xml:space="preserve">1 </w:t>
            </w:r>
            <w:r w:rsidR="00A42B93">
              <w:t>полугодие</w:t>
            </w:r>
            <w:r>
              <w:t xml:space="preserve"> 202</w:t>
            </w:r>
            <w:r w:rsidR="00A42B93">
              <w:t>6</w:t>
            </w:r>
            <w:r>
              <w:t xml:space="preserve"> года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5D35" w14:textId="77777777" w:rsidR="005270DF" w:rsidRPr="005270DF" w:rsidRDefault="00660772" w:rsidP="00660772">
            <w:pPr>
              <w:jc w:val="center"/>
            </w:pPr>
            <w:r>
              <w:t xml:space="preserve">подготовка </w:t>
            </w:r>
            <w:r w:rsidR="00EF2C52">
              <w:t>обзорн</w:t>
            </w:r>
            <w:r>
              <w:t>ой</w:t>
            </w:r>
            <w:r w:rsidR="00EF2C52">
              <w:t xml:space="preserve"> справк</w:t>
            </w:r>
            <w:r>
              <w:t>и</w:t>
            </w:r>
            <w:r w:rsidR="00EF2C52">
              <w:t xml:space="preserve"> с выводами и проектами приказов</w:t>
            </w:r>
            <w:r>
              <w:t xml:space="preserve"> рабочей комиссией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6F60" w14:textId="77777777" w:rsidR="005270DF" w:rsidRPr="005270DF" w:rsidRDefault="00660772" w:rsidP="00660772">
            <w:pPr>
              <w:jc w:val="center"/>
            </w:pPr>
            <w:r>
              <w:t>руководители СП ЦА, р</w:t>
            </w:r>
            <w:r w:rsidR="00EF2C52">
              <w:t>абочая комиссия по приказу Генерального директора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ADC3" w14:textId="77777777" w:rsidR="005270DF" w:rsidRPr="005270DF" w:rsidRDefault="005270DF" w:rsidP="005270DF">
            <w:pPr>
              <w:jc w:val="center"/>
            </w:pPr>
          </w:p>
        </w:tc>
      </w:tr>
      <w:tr w:rsidR="005270DF" w:rsidRPr="00A146CB" w14:paraId="2C06299F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5CB7" w14:textId="77777777" w:rsidR="005270DF" w:rsidRPr="00A146CB" w:rsidRDefault="005270DF" w:rsidP="00EF2C52">
            <w:pPr>
              <w:jc w:val="center"/>
            </w:pPr>
            <w:r>
              <w:rPr>
                <w:rStyle w:val="s0"/>
              </w:rPr>
              <w:t>1</w:t>
            </w:r>
            <w:r w:rsidR="00EF2C52">
              <w:rPr>
                <w:rStyle w:val="s0"/>
              </w:rPr>
              <w:t>2</w:t>
            </w:r>
            <w:r w:rsidRPr="00A146CB"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4A3A2" w14:textId="77777777" w:rsidR="005270DF" w:rsidRPr="00044175" w:rsidRDefault="00EF2C52" w:rsidP="005270DF">
            <w:r>
              <w:t>В</w:t>
            </w:r>
            <w:r w:rsidR="005270DF">
              <w:t>ыявлени</w:t>
            </w:r>
            <w:r>
              <w:t>е</w:t>
            </w:r>
            <w:r w:rsidR="005270DF">
              <w:t xml:space="preserve"> возможн</w:t>
            </w:r>
            <w:r>
              <w:t xml:space="preserve">ых фактов коррупционных рисков в рамках выяснения </w:t>
            </w:r>
            <w:r w:rsidR="005270DF">
              <w:t xml:space="preserve">вопросов, касающихся противоречий между правовыми актами, регламентирующими служебную деятельность работника и его должностными инструкциями </w:t>
            </w:r>
          </w:p>
          <w:p w14:paraId="1B765ED0" w14:textId="77777777" w:rsidR="005270DF" w:rsidRPr="00A146CB" w:rsidRDefault="005270DF" w:rsidP="005270DF">
            <w:pPr>
              <w:tabs>
                <w:tab w:val="left" w:pos="993"/>
              </w:tabs>
              <w:jc w:val="both"/>
            </w:pP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006B0" w14:textId="77777777" w:rsidR="005270DF" w:rsidRPr="00A146CB" w:rsidRDefault="005270DF" w:rsidP="005270DF">
            <w:pPr>
              <w:jc w:val="center"/>
            </w:pPr>
            <w:r w:rsidRPr="00A146CB">
              <w:rPr>
                <w:rStyle w:val="s0"/>
              </w:rPr>
              <w:t>Постоянно</w:t>
            </w:r>
            <w:r>
              <w:rPr>
                <w:rStyle w:val="s0"/>
              </w:rPr>
              <w:t>, в течении года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5F76" w14:textId="77777777" w:rsidR="005270DF" w:rsidRPr="00A146CB" w:rsidRDefault="005270DF" w:rsidP="005270DF">
            <w:pPr>
              <w:jc w:val="center"/>
            </w:pPr>
            <w:r w:rsidRPr="00A146CB">
              <w:rPr>
                <w:rStyle w:val="s0"/>
              </w:rPr>
              <w:t>Информация</w:t>
            </w:r>
            <w:r w:rsidRPr="00A146CB">
              <w:t xml:space="preserve"> Генеральному директору</w:t>
            </w:r>
            <w:r w:rsidRPr="00A146CB">
              <w:rPr>
                <w:rStyle w:val="s0"/>
              </w:rPr>
              <w:t xml:space="preserve"> 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3FD52" w14:textId="77777777" w:rsidR="005270DF" w:rsidRDefault="005270DF" w:rsidP="005270DF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Комплаенс-служба</w:t>
            </w:r>
          </w:p>
          <w:p w14:paraId="058A0943" w14:textId="77777777" w:rsidR="005270DF" w:rsidRDefault="005270DF" w:rsidP="005270DF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ОПО</w:t>
            </w:r>
          </w:p>
          <w:p w14:paraId="1B91F3FB" w14:textId="77777777" w:rsidR="005270DF" w:rsidRPr="00A146CB" w:rsidRDefault="005270DF" w:rsidP="005270DF">
            <w:pPr>
              <w:jc w:val="center"/>
            </w:pPr>
            <w:r>
              <w:rPr>
                <w:rStyle w:val="s0"/>
              </w:rPr>
              <w:t>ОО и КР, руководители структурных подразделений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B734" w14:textId="77777777" w:rsidR="005270DF" w:rsidRPr="00A146CB" w:rsidRDefault="005270DF" w:rsidP="005270DF">
            <w:pPr>
              <w:jc w:val="center"/>
            </w:pPr>
          </w:p>
        </w:tc>
      </w:tr>
      <w:tr w:rsidR="00EF2C52" w:rsidRPr="00A146CB" w14:paraId="5ED0A6AB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7898A" w14:textId="77777777" w:rsidR="00EF2C52" w:rsidRPr="00A146CB" w:rsidRDefault="00EF2C52" w:rsidP="009136FF">
            <w:pPr>
              <w:jc w:val="center"/>
            </w:pPr>
            <w:r>
              <w:rPr>
                <w:rStyle w:val="s0"/>
              </w:rPr>
              <w:t>1</w:t>
            </w:r>
            <w:r w:rsidR="009136FF">
              <w:rPr>
                <w:rStyle w:val="s0"/>
              </w:rPr>
              <w:t>3</w:t>
            </w:r>
            <w:r w:rsidRPr="00A146CB"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1F45" w14:textId="77777777" w:rsidR="00EF2C52" w:rsidRDefault="00EF2C52" w:rsidP="003F25D9">
            <w:r>
              <w:t xml:space="preserve">Проведение </w:t>
            </w:r>
            <w:r w:rsidR="003F25D9">
              <w:t>тренингов, опросов по вопросам АКП, корпоративных этических ценностей</w:t>
            </w:r>
            <w:r w:rsidR="009136FF">
              <w:t xml:space="preserve"> в</w:t>
            </w:r>
            <w:r>
              <w:t xml:space="preserve"> центральном аппарате, региональных, областных и районных лабораториях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4D05" w14:textId="77777777" w:rsidR="00EF2C52" w:rsidRDefault="003F25D9" w:rsidP="003F25D9">
            <w:pPr>
              <w:jc w:val="center"/>
            </w:pPr>
            <w:r>
              <w:t>один раз в полугодие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8013" w14:textId="6FFE9D78" w:rsidR="00EF2C52" w:rsidRPr="00BD0220" w:rsidRDefault="00F73FB7" w:rsidP="00EF2C52">
            <w:pPr>
              <w:jc w:val="center"/>
              <w:rPr>
                <w:rStyle w:val="s0"/>
              </w:rPr>
            </w:pPr>
            <w:r w:rsidRPr="00BD0220">
              <w:rPr>
                <w:rStyle w:val="s0"/>
              </w:rPr>
              <w:t>Информация Генеральному</w:t>
            </w:r>
            <w:r w:rsidR="00EF2C52" w:rsidRPr="00BD0220">
              <w:rPr>
                <w:rStyle w:val="s0"/>
              </w:rPr>
              <w:t xml:space="preserve"> директору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28C6" w14:textId="77777777" w:rsidR="00EF2C52" w:rsidRPr="00A146CB" w:rsidRDefault="00EF2C52" w:rsidP="00EF2C52">
            <w:pPr>
              <w:jc w:val="center"/>
            </w:pPr>
            <w:r>
              <w:t>Комплаенс-служба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25E5" w14:textId="77777777" w:rsidR="00EF2C52" w:rsidRPr="00A146CB" w:rsidRDefault="00EF2C52" w:rsidP="00EF2C52">
            <w:pPr>
              <w:jc w:val="center"/>
            </w:pPr>
          </w:p>
        </w:tc>
      </w:tr>
      <w:tr w:rsidR="003F25D9" w:rsidRPr="009D66F4" w14:paraId="43838776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DE38" w14:textId="77777777" w:rsidR="003F25D9" w:rsidRPr="00A146CB" w:rsidRDefault="003F25D9" w:rsidP="009136FF">
            <w:pPr>
              <w:jc w:val="center"/>
            </w:pPr>
            <w:r>
              <w:rPr>
                <w:rStyle w:val="s0"/>
              </w:rPr>
              <w:t>1</w:t>
            </w:r>
            <w:r w:rsidR="009136FF">
              <w:rPr>
                <w:rStyle w:val="s0"/>
              </w:rPr>
              <w:t>4</w:t>
            </w:r>
            <w:r w:rsidRPr="00A146CB"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B3A2" w14:textId="77777777" w:rsidR="003F25D9" w:rsidRPr="00A146CB" w:rsidRDefault="003F25D9" w:rsidP="003F25D9">
            <w:r w:rsidRPr="00A146CB">
              <w:t>Привлечение к дисциплинарной ответственности работников Предприятия, не принимающих должных мер по обеспечению исполнения антикоррупционного законодательства</w:t>
            </w:r>
            <w:r>
              <w:t xml:space="preserve"> как по ЦА</w:t>
            </w:r>
            <w:proofErr w:type="gramStart"/>
            <w:r>
              <w:t>.</w:t>
            </w:r>
            <w:proofErr w:type="gramEnd"/>
            <w:r>
              <w:t xml:space="preserve"> так и по ОФ/РФ, и районным РВЛ/ЗВЛ</w:t>
            </w:r>
            <w:r w:rsidR="00660772">
              <w:t xml:space="preserve"> в рамках своих должностных обязанностей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048C" w14:textId="77777777" w:rsidR="003F25D9" w:rsidRPr="00A146CB" w:rsidRDefault="003F25D9" w:rsidP="003F25D9">
            <w:pPr>
              <w:jc w:val="center"/>
            </w:pPr>
            <w:r w:rsidRPr="00A146CB">
              <w:rPr>
                <w:rStyle w:val="s0"/>
              </w:rPr>
              <w:t>По факту выявления</w:t>
            </w:r>
            <w:r w:rsidR="00660772">
              <w:rPr>
                <w:rStyle w:val="s0"/>
              </w:rPr>
              <w:t xml:space="preserve"> 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5FA0" w14:textId="77777777" w:rsidR="003F25D9" w:rsidRPr="00A146CB" w:rsidRDefault="00660772" w:rsidP="00660772">
            <w:pPr>
              <w:jc w:val="center"/>
            </w:pPr>
            <w:r>
              <w:rPr>
                <w:rStyle w:val="s0"/>
              </w:rPr>
              <w:t>проведение служебного расследования, п</w:t>
            </w:r>
            <w:r w:rsidR="003F25D9" w:rsidRPr="00A146CB">
              <w:rPr>
                <w:rStyle w:val="s0"/>
              </w:rPr>
              <w:t>риказ</w:t>
            </w:r>
            <w:r w:rsidR="003F25D9" w:rsidRPr="00A146CB">
              <w:t xml:space="preserve"> Генерально</w:t>
            </w:r>
            <w:r w:rsidR="003F25D9">
              <w:t>го директора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6534" w14:textId="77777777" w:rsidR="003F25D9" w:rsidRDefault="003F25D9" w:rsidP="003F25D9">
            <w:pPr>
              <w:jc w:val="center"/>
            </w:pPr>
            <w:r>
              <w:t>Комплаенс-служба</w:t>
            </w:r>
          </w:p>
          <w:p w14:paraId="22A63AD5" w14:textId="77777777" w:rsidR="003F25D9" w:rsidRDefault="003F25D9" w:rsidP="003F25D9">
            <w:pPr>
              <w:jc w:val="center"/>
            </w:pPr>
            <w:r>
              <w:t>ОО и КР</w:t>
            </w:r>
          </w:p>
          <w:p w14:paraId="5E2BC708" w14:textId="77777777" w:rsidR="003F25D9" w:rsidRPr="00A146CB" w:rsidRDefault="003F25D9" w:rsidP="003F25D9">
            <w:pPr>
              <w:jc w:val="center"/>
            </w:pP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6CF3" w14:textId="77777777" w:rsidR="003F25D9" w:rsidRPr="009D66F4" w:rsidRDefault="003F25D9" w:rsidP="003F25D9">
            <w:pPr>
              <w:jc w:val="center"/>
              <w:rPr>
                <w:highlight w:val="green"/>
              </w:rPr>
            </w:pPr>
          </w:p>
        </w:tc>
      </w:tr>
      <w:tr w:rsidR="00CF7379" w:rsidRPr="00A146CB" w14:paraId="11432456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83E6" w14:textId="77777777" w:rsidR="00CF7379" w:rsidRPr="00A146CB" w:rsidRDefault="00CF7379" w:rsidP="00CF7379">
            <w:pPr>
              <w:jc w:val="center"/>
            </w:pPr>
            <w:r w:rsidRPr="00F33E5C">
              <w:rPr>
                <w:rStyle w:val="s0"/>
              </w:rPr>
              <w:t>15.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D3B6" w14:textId="3EBA36E3" w:rsidR="00CF7379" w:rsidRPr="00CF7379" w:rsidRDefault="00CF7379" w:rsidP="00CF7379">
            <w:pPr>
              <w:tabs>
                <w:tab w:val="left" w:pos="1134"/>
              </w:tabs>
              <w:jc w:val="both"/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Ответственным работникам филиалов по линии АКП  противодействия коррупции направлять информацию в отдел стратегического планирования, </w:t>
            </w:r>
            <w:r>
              <w:rPr>
                <w:color w:val="auto"/>
                <w:lang w:val="kk-KZ"/>
              </w:rPr>
              <w:lastRenderedPageBreak/>
              <w:t>оценки рисков и внешней связи (А. Балуановой ) для публикации проведеных совещаний в «Инстаграмм».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6E00F" w14:textId="62DFBB01" w:rsidR="00CF7379" w:rsidRPr="00A146CB" w:rsidRDefault="00CF7379" w:rsidP="00CF7379">
            <w:pPr>
              <w:jc w:val="center"/>
            </w:pPr>
            <w:r w:rsidRPr="009E70F1">
              <w:lastRenderedPageBreak/>
              <w:t>ежеквартально</w:t>
            </w:r>
            <w:r w:rsidRPr="009E70F1">
              <w:rPr>
                <w:i/>
              </w:rPr>
              <w:t xml:space="preserve"> 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6B5B" w14:textId="3C15EF6D" w:rsidR="00CF7379" w:rsidRPr="00A146CB" w:rsidRDefault="00CF7379" w:rsidP="00CF7379">
            <w:pPr>
              <w:jc w:val="center"/>
            </w:pPr>
            <w:r w:rsidRPr="005270DF">
              <w:t>Протокола совещаний</w:t>
            </w:r>
            <w:r>
              <w:t xml:space="preserve"> (листы ознакомлений руководителей и работников)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9359C" w14:textId="308F0F2D" w:rsidR="00CF7379" w:rsidRPr="003E077E" w:rsidRDefault="00CF7379" w:rsidP="00CF7379">
            <w:pPr>
              <w:jc w:val="center"/>
            </w:pPr>
            <w:r w:rsidRPr="005270DF">
              <w:t>Директора филиалов, инспектора по кадровой работе</w:t>
            </w:r>
            <w:r>
              <w:t>, юристы филиалов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7A50" w14:textId="77777777" w:rsidR="00CF7379" w:rsidRPr="00A146CB" w:rsidRDefault="00CF7379" w:rsidP="00CF7379">
            <w:pPr>
              <w:jc w:val="center"/>
            </w:pPr>
          </w:p>
        </w:tc>
      </w:tr>
      <w:tr w:rsidR="00CF7379" w:rsidRPr="00A146CB" w14:paraId="0DD59D0D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9F7A" w14:textId="77777777" w:rsidR="00CF7379" w:rsidRPr="00A146CB" w:rsidRDefault="00CF7379" w:rsidP="00CF7379">
            <w:pPr>
              <w:jc w:val="center"/>
            </w:pPr>
            <w:r w:rsidRPr="00F33E5C">
              <w:rPr>
                <w:rStyle w:val="s0"/>
              </w:rPr>
              <w:t>16.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3F9EA" w14:textId="553ED143" w:rsidR="00CF7379" w:rsidRPr="008F5C28" w:rsidRDefault="00CF7379" w:rsidP="00CF7379">
            <w:pPr>
              <w:rPr>
                <w:highlight w:val="green"/>
              </w:rPr>
            </w:pPr>
            <w:r w:rsidRPr="00D749C1">
              <w:t xml:space="preserve">В рамках </w:t>
            </w:r>
            <w:r w:rsidR="00D749C1">
              <w:t xml:space="preserve">осуществления мониторинга государственных закупок со стороны </w:t>
            </w:r>
            <w:proofErr w:type="spellStart"/>
            <w:r w:rsidR="00D749C1">
              <w:t>Агенства</w:t>
            </w:r>
            <w:proofErr w:type="spellEnd"/>
            <w:r w:rsidR="00D749C1">
              <w:t xml:space="preserve"> финансового мониторинга, органов прокуратуры, ответственным работникам по линии АКП филиалов принять меры по контролю осуществления государственных закупок (опубликования цен) по недопущению завышения цен на те или иные виды работ, услуг и товаров.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63BE" w14:textId="4AA418F0" w:rsidR="00CF7379" w:rsidRPr="008F5C28" w:rsidRDefault="00D749C1" w:rsidP="00CF7379">
            <w:pPr>
              <w:jc w:val="center"/>
              <w:rPr>
                <w:highlight w:val="green"/>
              </w:rPr>
            </w:pPr>
            <w:r w:rsidRPr="00D749C1">
              <w:t xml:space="preserve">На постоянной основе 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52C7" w14:textId="262EEDAC" w:rsidR="00CF7379" w:rsidRPr="008F5C28" w:rsidRDefault="00D749C1" w:rsidP="00CF7379">
            <w:pPr>
              <w:jc w:val="center"/>
              <w:rPr>
                <w:highlight w:val="green"/>
              </w:rPr>
            </w:pPr>
            <w:r w:rsidRPr="00D749C1">
              <w:t>Все документы по госзакупкам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5C9F" w14:textId="57D0406B" w:rsidR="00D749C1" w:rsidRDefault="00D749C1" w:rsidP="00D749C1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Генеральный директор, Комплаенс-служба,</w:t>
            </w:r>
          </w:p>
          <w:p w14:paraId="6B443027" w14:textId="094CEAE7" w:rsidR="00D749C1" w:rsidRDefault="00D749C1" w:rsidP="00D749C1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отдел государственных закупок</w:t>
            </w:r>
          </w:p>
          <w:p w14:paraId="5E368591" w14:textId="51475A2D" w:rsidR="00CF7379" w:rsidRPr="008F5C28" w:rsidRDefault="00CF7379" w:rsidP="00CF7379">
            <w:pPr>
              <w:jc w:val="center"/>
              <w:rPr>
                <w:highlight w:val="green"/>
              </w:rPr>
            </w:pP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ED61" w14:textId="77777777" w:rsidR="00CF7379" w:rsidRPr="00A146CB" w:rsidRDefault="00CF7379" w:rsidP="00CF7379">
            <w:pPr>
              <w:jc w:val="center"/>
            </w:pPr>
          </w:p>
        </w:tc>
      </w:tr>
      <w:tr w:rsidR="00CF7379" w:rsidRPr="00A146CB" w14:paraId="19C37D5E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6A41C" w14:textId="77777777" w:rsidR="00CF7379" w:rsidRPr="00A146CB" w:rsidRDefault="00CF7379" w:rsidP="00CF7379">
            <w:pPr>
              <w:jc w:val="center"/>
            </w:pPr>
            <w:r w:rsidRPr="00F33E5C">
              <w:rPr>
                <w:rStyle w:val="s0"/>
              </w:rPr>
              <w:t>17.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9C57" w14:textId="1F108F13" w:rsidR="00CF7379" w:rsidRPr="00C866B6" w:rsidRDefault="001944C3" w:rsidP="00CF7379">
            <w:r>
              <w:t xml:space="preserve">На ежемесячной основе ответственным работникам филиалов по линии АКП проводить мероприятия по проверке вновь принятых работников по базе КПС и СУ при ГП РК. В случае выявления фактов коррупционных правонарушений, принять меры по их недопущению о приеме на работу. 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8B1A" w14:textId="1177CBBC" w:rsidR="00CF7379" w:rsidRPr="00C866B6" w:rsidRDefault="001944C3" w:rsidP="00CF7379">
            <w:pPr>
              <w:jc w:val="center"/>
            </w:pPr>
            <w:r w:rsidRPr="00D749C1">
              <w:t>На постоянной основе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2197" w14:textId="23D24D25" w:rsidR="00CF7379" w:rsidRPr="002F7CCE" w:rsidRDefault="001944C3" w:rsidP="00CF7379">
            <w:pPr>
              <w:jc w:val="center"/>
              <w:rPr>
                <w:highlight w:val="yellow"/>
              </w:rPr>
            </w:pPr>
            <w:r w:rsidRPr="001944C3">
              <w:t>Сведения о совершении лицом коррупционного преступления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8F69" w14:textId="77777777" w:rsidR="001944C3" w:rsidRDefault="001944C3" w:rsidP="001944C3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Генеральный директор, заместитель Генерального директора,</w:t>
            </w:r>
          </w:p>
          <w:p w14:paraId="60639A09" w14:textId="77777777" w:rsidR="001944C3" w:rsidRDefault="001944C3" w:rsidP="001944C3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 xml:space="preserve">Комплаенс-служба, </w:t>
            </w:r>
          </w:p>
          <w:p w14:paraId="2383BD5C" w14:textId="0E8A080D" w:rsidR="001944C3" w:rsidRDefault="001944C3" w:rsidP="001944C3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директора филиалов</w:t>
            </w:r>
          </w:p>
          <w:p w14:paraId="531A59B9" w14:textId="060705A3" w:rsidR="00CF7379" w:rsidRPr="00AF4B60" w:rsidRDefault="00CF7379" w:rsidP="00CF7379">
            <w:pPr>
              <w:jc w:val="center"/>
            </w:pP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ED11" w14:textId="77777777" w:rsidR="00CF7379" w:rsidRPr="00A146CB" w:rsidRDefault="00CF7379" w:rsidP="00CF7379">
            <w:pPr>
              <w:jc w:val="center"/>
            </w:pPr>
          </w:p>
        </w:tc>
      </w:tr>
      <w:tr w:rsidR="00CF7379" w:rsidRPr="00A146CB" w14:paraId="0473E6CD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50F8" w14:textId="77777777" w:rsidR="00CF7379" w:rsidRPr="00A146CB" w:rsidRDefault="00CF7379" w:rsidP="00CF7379">
            <w:pPr>
              <w:jc w:val="center"/>
            </w:pPr>
            <w:r w:rsidRPr="00F33E5C">
              <w:rPr>
                <w:rStyle w:val="s0"/>
              </w:rPr>
              <w:t>18.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8216C" w14:textId="6194BB10" w:rsidR="00CF7379" w:rsidRPr="00C866B6" w:rsidRDefault="00CF7379" w:rsidP="00CF7379">
            <w:pPr>
              <w:jc w:val="both"/>
            </w:pPr>
            <w:r>
              <w:rPr>
                <w:lang w:val="kk-KZ"/>
              </w:rPr>
              <w:t>А</w:t>
            </w:r>
            <w:proofErr w:type="spellStart"/>
            <w:r>
              <w:t>утсорсинг</w:t>
            </w:r>
            <w:proofErr w:type="spellEnd"/>
            <w:r>
              <w:t xml:space="preserve"> – проведение анализа в связи с переходом ГПХ на А</w:t>
            </w:r>
            <w:r>
              <w:rPr>
                <w:lang w:val="kk-KZ"/>
              </w:rPr>
              <w:t>утсорсинг</w:t>
            </w:r>
            <w:r>
              <w:t xml:space="preserve"> запросить результаты аналитических данных в разрезе каждого филиала, так и по ЦА 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F24B" w14:textId="77777777" w:rsidR="00CF7379" w:rsidRPr="00C866B6" w:rsidRDefault="00CF7379" w:rsidP="00CF7379">
            <w:pPr>
              <w:jc w:val="center"/>
            </w:pPr>
            <w:r>
              <w:t xml:space="preserve">на ежеквартальной основе 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FAB8" w14:textId="5DC47A3E" w:rsidR="00CF7379" w:rsidRPr="00A146CB" w:rsidRDefault="00CF7379" w:rsidP="00CF7379">
            <w:pPr>
              <w:jc w:val="center"/>
            </w:pPr>
            <w:r>
              <w:t xml:space="preserve">подготовка Комплаенс-службой аналитического </w:t>
            </w:r>
            <w:r w:rsidR="00F73FB7">
              <w:t>документа -</w:t>
            </w:r>
            <w:r>
              <w:t xml:space="preserve">сравнительного анализа с выводами и рекомендациями для </w:t>
            </w:r>
            <w:r>
              <w:lastRenderedPageBreak/>
              <w:t>доклада генеральному директору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6DEA" w14:textId="77777777" w:rsidR="00505704" w:rsidRDefault="00505704" w:rsidP="00505704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lastRenderedPageBreak/>
              <w:t>Генеральный директор, заместитель Генерального директора,</w:t>
            </w:r>
          </w:p>
          <w:p w14:paraId="5176A377" w14:textId="77777777" w:rsidR="00505704" w:rsidRDefault="00505704" w:rsidP="00505704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 xml:space="preserve">Комплаенс-служба, </w:t>
            </w:r>
          </w:p>
          <w:p w14:paraId="4F69F6EE" w14:textId="77777777" w:rsidR="00505704" w:rsidRDefault="00505704" w:rsidP="00505704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директора филиалов</w:t>
            </w:r>
          </w:p>
          <w:p w14:paraId="56D425A8" w14:textId="253707E6" w:rsidR="00CF7379" w:rsidRPr="00A146CB" w:rsidRDefault="00CF7379" w:rsidP="00CF7379">
            <w:pPr>
              <w:jc w:val="center"/>
            </w:pP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7C72" w14:textId="77777777" w:rsidR="00CF7379" w:rsidRPr="00A146CB" w:rsidRDefault="00CF7379" w:rsidP="00CF7379">
            <w:pPr>
              <w:jc w:val="center"/>
            </w:pPr>
          </w:p>
        </w:tc>
      </w:tr>
      <w:tr w:rsidR="001944C3" w:rsidRPr="00A146CB" w14:paraId="16CBE3C3" w14:textId="30E1C83F" w:rsidTr="001944C3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0197" w14:textId="266B06C4" w:rsidR="001944C3" w:rsidRPr="001944C3" w:rsidRDefault="001944C3" w:rsidP="00CF7379">
            <w:pPr>
              <w:jc w:val="center"/>
              <w:rPr>
                <w:rStyle w:val="s0"/>
                <w:bCs/>
                <w:iCs/>
              </w:rPr>
            </w:pPr>
            <w:r w:rsidRPr="007129A9">
              <w:rPr>
                <w:rStyle w:val="s0"/>
                <w:bCs/>
                <w:iCs/>
                <w:highlight w:val="yellow"/>
              </w:rPr>
              <w:t>19.</w:t>
            </w:r>
          </w:p>
        </w:tc>
        <w:tc>
          <w:tcPr>
            <w:tcW w:w="1226" w:type="pct"/>
            <w:vAlign w:val="center"/>
          </w:tcPr>
          <w:p w14:paraId="241F18D1" w14:textId="77777777" w:rsidR="001944C3" w:rsidRDefault="007129A9" w:rsidP="00505704">
            <w:pPr>
              <w:rPr>
                <w:rStyle w:val="s0"/>
                <w:bCs/>
                <w:iCs/>
              </w:rPr>
            </w:pPr>
            <w:r w:rsidRPr="007129A9">
              <w:rPr>
                <w:rStyle w:val="s0"/>
                <w:bCs/>
                <w:iCs/>
              </w:rPr>
              <w:t>Директорам ОФ/РФ в срок до 25 января 2026 года принять меры по принятию решения по отдельным позициям активов Предприятия:</w:t>
            </w:r>
          </w:p>
          <w:p w14:paraId="0041C32E" w14:textId="6D0E9BF9" w:rsidR="00F73FB7" w:rsidRDefault="007129A9" w:rsidP="00505704">
            <w:pPr>
              <w:pStyle w:val="ab"/>
              <w:numPr>
                <w:ilvl w:val="0"/>
                <w:numId w:val="2"/>
              </w:numPr>
              <w:rPr>
                <w:rStyle w:val="s0"/>
                <w:bCs/>
                <w:iCs/>
              </w:rPr>
            </w:pPr>
            <w:r>
              <w:rPr>
                <w:rStyle w:val="s0"/>
                <w:bCs/>
                <w:iCs/>
              </w:rPr>
              <w:t xml:space="preserve">по ВКОФ </w:t>
            </w:r>
            <w:proofErr w:type="spellStart"/>
            <w:r>
              <w:rPr>
                <w:rStyle w:val="s0"/>
                <w:bCs/>
                <w:iCs/>
              </w:rPr>
              <w:t>Курчумской</w:t>
            </w:r>
            <w:proofErr w:type="spellEnd"/>
            <w:r>
              <w:rPr>
                <w:rStyle w:val="s0"/>
                <w:bCs/>
                <w:iCs/>
              </w:rPr>
              <w:t xml:space="preserve"> РВЛ (столовая- магазин) привести в надлежащее состояние правоустан</w:t>
            </w:r>
            <w:r w:rsidR="00F73FB7">
              <w:rPr>
                <w:rStyle w:val="s0"/>
                <w:bCs/>
                <w:iCs/>
              </w:rPr>
              <w:t>а</w:t>
            </w:r>
            <w:r>
              <w:rPr>
                <w:rStyle w:val="s0"/>
                <w:bCs/>
                <w:iCs/>
              </w:rPr>
              <w:t xml:space="preserve">вливающие документы-Ф. </w:t>
            </w:r>
            <w:proofErr w:type="spellStart"/>
            <w:r>
              <w:rPr>
                <w:rStyle w:val="s0"/>
                <w:bCs/>
                <w:iCs/>
              </w:rPr>
              <w:t>Бекбаев</w:t>
            </w:r>
            <w:proofErr w:type="spellEnd"/>
            <w:r>
              <w:rPr>
                <w:rStyle w:val="s0"/>
                <w:bCs/>
                <w:iCs/>
              </w:rPr>
              <w:t>.</w:t>
            </w:r>
          </w:p>
          <w:p w14:paraId="1C907239" w14:textId="02CC4137" w:rsidR="00F73FB7" w:rsidRPr="00505704" w:rsidRDefault="00F73FB7" w:rsidP="00505704">
            <w:pPr>
              <w:pStyle w:val="ab"/>
              <w:numPr>
                <w:ilvl w:val="0"/>
                <w:numId w:val="2"/>
              </w:numPr>
              <w:rPr>
                <w:rStyle w:val="s0"/>
                <w:bCs/>
                <w:iCs/>
              </w:rPr>
            </w:pPr>
            <w:r w:rsidRPr="00505704">
              <w:rPr>
                <w:rStyle w:val="s0"/>
                <w:bCs/>
                <w:iCs/>
              </w:rPr>
              <w:t xml:space="preserve">по Алматинской РФ </w:t>
            </w:r>
            <w:proofErr w:type="spellStart"/>
            <w:r w:rsidRPr="00505704">
              <w:rPr>
                <w:rStyle w:val="s0"/>
                <w:bCs/>
                <w:iCs/>
              </w:rPr>
              <w:t>Конаевской</w:t>
            </w:r>
            <w:proofErr w:type="spellEnd"/>
            <w:r w:rsidRPr="00505704">
              <w:rPr>
                <w:rStyle w:val="s0"/>
                <w:bCs/>
                <w:iCs/>
              </w:rPr>
              <w:t xml:space="preserve"> РВЛ привести в надлежащее состояние правоустанавливающие документы- </w:t>
            </w:r>
            <w:proofErr w:type="spellStart"/>
            <w:r w:rsidRPr="00505704">
              <w:rPr>
                <w:rStyle w:val="s0"/>
                <w:bCs/>
                <w:iCs/>
              </w:rPr>
              <w:t>А.Карымсаков</w:t>
            </w:r>
            <w:proofErr w:type="spellEnd"/>
            <w:r w:rsidRPr="00505704">
              <w:rPr>
                <w:rStyle w:val="s0"/>
                <w:bCs/>
                <w:iCs/>
              </w:rPr>
              <w:t>.</w:t>
            </w:r>
          </w:p>
          <w:p w14:paraId="68C30157" w14:textId="7C41B7CB" w:rsidR="00F73FB7" w:rsidRDefault="00F73FB7" w:rsidP="00505704">
            <w:pPr>
              <w:pStyle w:val="ab"/>
              <w:numPr>
                <w:ilvl w:val="0"/>
                <w:numId w:val="2"/>
              </w:numPr>
              <w:rPr>
                <w:rStyle w:val="s0"/>
                <w:bCs/>
                <w:iCs/>
              </w:rPr>
            </w:pPr>
            <w:r>
              <w:rPr>
                <w:rStyle w:val="s0"/>
                <w:bCs/>
                <w:iCs/>
              </w:rPr>
              <w:t>по административному зданию Кызылординского ОФ РВЛ привести в надлежащее состояние правоустанавливающие документы-М. Шатенов.</w:t>
            </w:r>
          </w:p>
          <w:p w14:paraId="0034D2B9" w14:textId="538222E0" w:rsidR="00F73FB7" w:rsidRDefault="00F73FB7" w:rsidP="00505704">
            <w:pPr>
              <w:pStyle w:val="ab"/>
              <w:numPr>
                <w:ilvl w:val="0"/>
                <w:numId w:val="2"/>
              </w:numPr>
              <w:rPr>
                <w:rStyle w:val="s0"/>
                <w:bCs/>
                <w:iCs/>
              </w:rPr>
            </w:pPr>
            <w:r>
              <w:rPr>
                <w:rStyle w:val="s0"/>
                <w:bCs/>
                <w:iCs/>
              </w:rPr>
              <w:t xml:space="preserve">По земельному участку оз. </w:t>
            </w:r>
            <w:proofErr w:type="spellStart"/>
            <w:r>
              <w:rPr>
                <w:rStyle w:val="s0"/>
                <w:bCs/>
                <w:iCs/>
              </w:rPr>
              <w:t>Алаколь</w:t>
            </w:r>
            <w:proofErr w:type="spellEnd"/>
            <w:r>
              <w:rPr>
                <w:rStyle w:val="s0"/>
                <w:bCs/>
                <w:iCs/>
              </w:rPr>
              <w:t>, принять окончательное решение с последующим предоставлением ответа в Департамент Комитета земельных отношений по Абайской области-</w:t>
            </w:r>
            <w:proofErr w:type="spellStart"/>
            <w:r>
              <w:rPr>
                <w:rStyle w:val="s0"/>
                <w:bCs/>
                <w:iCs/>
              </w:rPr>
              <w:t>А.Балуанов</w:t>
            </w:r>
            <w:proofErr w:type="spellEnd"/>
            <w:r>
              <w:rPr>
                <w:rStyle w:val="s0"/>
                <w:bCs/>
                <w:iCs/>
              </w:rPr>
              <w:t>.</w:t>
            </w:r>
          </w:p>
          <w:p w14:paraId="37B00C1D" w14:textId="75E95F43" w:rsidR="007129A9" w:rsidRPr="007129A9" w:rsidRDefault="00F73FB7" w:rsidP="00505704">
            <w:pPr>
              <w:pStyle w:val="ab"/>
              <w:rPr>
                <w:rStyle w:val="s0"/>
                <w:bCs/>
                <w:iCs/>
              </w:rPr>
            </w:pPr>
            <w:r>
              <w:rPr>
                <w:rStyle w:val="s0"/>
                <w:bCs/>
                <w:iCs/>
              </w:rPr>
              <w:t xml:space="preserve"> </w:t>
            </w:r>
          </w:p>
        </w:tc>
        <w:tc>
          <w:tcPr>
            <w:tcW w:w="995" w:type="pct"/>
            <w:vAlign w:val="center"/>
          </w:tcPr>
          <w:p w14:paraId="24567169" w14:textId="6EA6504D" w:rsidR="001944C3" w:rsidRPr="000E491A" w:rsidRDefault="00505704" w:rsidP="00CF7379">
            <w:pPr>
              <w:jc w:val="center"/>
              <w:rPr>
                <w:rStyle w:val="s0"/>
                <w:b/>
                <w:i/>
              </w:rPr>
            </w:pPr>
            <w:r>
              <w:rPr>
                <w:rStyle w:val="s0"/>
              </w:rPr>
              <w:t>в течении 2026 года</w:t>
            </w:r>
          </w:p>
        </w:tc>
        <w:tc>
          <w:tcPr>
            <w:tcW w:w="878" w:type="pct"/>
            <w:vAlign w:val="center"/>
          </w:tcPr>
          <w:p w14:paraId="5AFB55E6" w14:textId="1041B61F" w:rsidR="001944C3" w:rsidRPr="000E491A" w:rsidRDefault="00505704" w:rsidP="00CF7379">
            <w:pPr>
              <w:jc w:val="center"/>
              <w:rPr>
                <w:rStyle w:val="s0"/>
                <w:b/>
                <w:i/>
              </w:rPr>
            </w:pPr>
            <w:r>
              <w:rPr>
                <w:rStyle w:val="s0"/>
                <w:bCs/>
                <w:iCs/>
              </w:rPr>
              <w:t>Все правоустанавливающие документы</w:t>
            </w:r>
          </w:p>
        </w:tc>
        <w:tc>
          <w:tcPr>
            <w:tcW w:w="1199" w:type="pct"/>
            <w:vAlign w:val="center"/>
          </w:tcPr>
          <w:p w14:paraId="4C7FE588" w14:textId="77777777" w:rsidR="00505704" w:rsidRDefault="00505704" w:rsidP="00505704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Генеральный директор, заместитель Генерального директора,</w:t>
            </w:r>
          </w:p>
          <w:p w14:paraId="61956D38" w14:textId="77777777" w:rsidR="00505704" w:rsidRDefault="00505704" w:rsidP="00505704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 xml:space="preserve">Комплаенс-служба, </w:t>
            </w:r>
          </w:p>
          <w:p w14:paraId="3C8BDCE1" w14:textId="77777777" w:rsidR="00505704" w:rsidRDefault="00505704" w:rsidP="00505704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директора филиалов</w:t>
            </w:r>
          </w:p>
          <w:p w14:paraId="4B45F77F" w14:textId="77777777" w:rsidR="001944C3" w:rsidRPr="000E491A" w:rsidRDefault="001944C3" w:rsidP="00CF7379">
            <w:pPr>
              <w:jc w:val="center"/>
              <w:rPr>
                <w:rStyle w:val="s0"/>
                <w:b/>
                <w:i/>
              </w:rPr>
            </w:pPr>
          </w:p>
        </w:tc>
        <w:tc>
          <w:tcPr>
            <w:tcW w:w="515" w:type="pct"/>
            <w:vAlign w:val="center"/>
          </w:tcPr>
          <w:p w14:paraId="60CBE5FC" w14:textId="77777777" w:rsidR="001944C3" w:rsidRPr="000E491A" w:rsidRDefault="001944C3" w:rsidP="00CF7379">
            <w:pPr>
              <w:jc w:val="center"/>
              <w:rPr>
                <w:rStyle w:val="s0"/>
                <w:b/>
                <w:i/>
              </w:rPr>
            </w:pPr>
          </w:p>
        </w:tc>
      </w:tr>
      <w:tr w:rsidR="00CF7379" w:rsidRPr="00A146CB" w14:paraId="262DD810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6484" w14:textId="6BCF4226" w:rsidR="00CF7379" w:rsidRPr="00A146CB" w:rsidRDefault="001944C3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lastRenderedPageBreak/>
              <w:t>20</w:t>
            </w:r>
            <w:r w:rsidR="00CF7379" w:rsidRPr="00A146CB"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EA06" w14:textId="77777777" w:rsidR="00CF7379" w:rsidRPr="00A146CB" w:rsidRDefault="00CF7379" w:rsidP="00CF7379">
            <w:r>
              <w:t xml:space="preserve">Подготовка письменного сообщения о </w:t>
            </w:r>
            <w:r w:rsidRPr="00A146CB">
              <w:t>факт</w:t>
            </w:r>
            <w:r>
              <w:t>е</w:t>
            </w:r>
            <w:r w:rsidRPr="00A146CB">
              <w:t xml:space="preserve"> коррупционного правонарушения с приложением необходимых материалов и документов</w:t>
            </w:r>
            <w:r>
              <w:t xml:space="preserve"> 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F2B9" w14:textId="77777777" w:rsidR="00CF7379" w:rsidRPr="00A146CB" w:rsidRDefault="00CF7379" w:rsidP="00CF7379">
            <w:pPr>
              <w:jc w:val="center"/>
              <w:rPr>
                <w:rStyle w:val="s0"/>
              </w:rPr>
            </w:pPr>
            <w:r w:rsidRPr="00A146CB">
              <w:t xml:space="preserve">Незамедлительно в течение </w:t>
            </w:r>
            <w:r>
              <w:t>12</w:t>
            </w:r>
            <w:r w:rsidRPr="00A146CB">
              <w:t xml:space="preserve"> часов с момента выявления коррупционного правонарушения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7780" w14:textId="7E9A09C3" w:rsidR="00CF7379" w:rsidRPr="00A146CB" w:rsidRDefault="00CF7379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В рамках утвержденного алгоритма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5099" w14:textId="77777777" w:rsidR="00CF7379" w:rsidRDefault="00CF7379" w:rsidP="00CF7379">
            <w:pPr>
              <w:jc w:val="center"/>
            </w:pPr>
            <w:r>
              <w:rPr>
                <w:rStyle w:val="s0"/>
              </w:rPr>
              <w:t>Генеральный директор Комплаенс-служба</w:t>
            </w:r>
          </w:p>
          <w:p w14:paraId="42C8FB63" w14:textId="77777777" w:rsidR="00CF7379" w:rsidRPr="00A146CB" w:rsidRDefault="00CF7379" w:rsidP="00CF7379">
            <w:pPr>
              <w:jc w:val="center"/>
            </w:pP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DDE8" w14:textId="77777777" w:rsidR="00CF7379" w:rsidRPr="00A146CB" w:rsidRDefault="00CF7379" w:rsidP="00CF7379">
            <w:pPr>
              <w:jc w:val="center"/>
              <w:rPr>
                <w:rStyle w:val="s0"/>
              </w:rPr>
            </w:pPr>
          </w:p>
        </w:tc>
      </w:tr>
      <w:tr w:rsidR="00CF7379" w:rsidRPr="00A146CB" w14:paraId="1C105B76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9BEE" w14:textId="1E14C1EC" w:rsidR="00CF7379" w:rsidRPr="00A146CB" w:rsidRDefault="00CF7379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2</w:t>
            </w:r>
            <w:r w:rsidR="001944C3">
              <w:rPr>
                <w:rStyle w:val="s0"/>
              </w:rPr>
              <w:t>1</w:t>
            </w:r>
            <w:r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C331" w14:textId="77777777" w:rsidR="00CF7379" w:rsidRDefault="00CF7379" w:rsidP="00CF7379">
            <w:r>
              <w:t>Оформление соответствующих протоколов и материалов по факту коррупционного правонарушения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FE73" w14:textId="77777777" w:rsidR="00CF7379" w:rsidRPr="00A146CB" w:rsidRDefault="00CF7379" w:rsidP="00CF7379">
            <w:pPr>
              <w:jc w:val="center"/>
            </w:pPr>
            <w:r>
              <w:t>В течении одного рабочего дня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5ED6" w14:textId="77777777" w:rsidR="00CF7379" w:rsidRPr="00A146CB" w:rsidRDefault="00CF7379" w:rsidP="00CF7379">
            <w:pPr>
              <w:jc w:val="center"/>
              <w:rPr>
                <w:rStyle w:val="s0"/>
              </w:rPr>
            </w:pPr>
            <w:r w:rsidRPr="00A146CB">
              <w:rPr>
                <w:rStyle w:val="s0"/>
              </w:rPr>
              <w:t>Информация</w:t>
            </w:r>
            <w:r w:rsidRPr="00A146CB">
              <w:t xml:space="preserve"> </w:t>
            </w:r>
            <w:r>
              <w:t xml:space="preserve">Председателю КВК и Н 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D2883" w14:textId="77777777" w:rsidR="00CF7379" w:rsidRDefault="00CF7379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Генеральный директор</w:t>
            </w:r>
          </w:p>
          <w:p w14:paraId="55E7EB4D" w14:textId="77777777" w:rsidR="00CF7379" w:rsidRDefault="00CF7379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Комплаенс-служба</w:t>
            </w:r>
          </w:p>
          <w:p w14:paraId="3D3ACE47" w14:textId="77777777" w:rsidR="00CF7379" w:rsidRDefault="00CF7379" w:rsidP="00CF7379">
            <w:pPr>
              <w:jc w:val="center"/>
            </w:pP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4373" w14:textId="77777777" w:rsidR="00CF7379" w:rsidRPr="00A146CB" w:rsidRDefault="00CF7379" w:rsidP="00CF7379">
            <w:pPr>
              <w:jc w:val="center"/>
              <w:rPr>
                <w:rStyle w:val="s0"/>
              </w:rPr>
            </w:pPr>
          </w:p>
        </w:tc>
      </w:tr>
      <w:tr w:rsidR="00CF7379" w:rsidRPr="00A146CB" w14:paraId="1079AB76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78B0" w14:textId="10941FDE" w:rsidR="00CF7379" w:rsidRDefault="00CF7379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2</w:t>
            </w:r>
            <w:r w:rsidR="001944C3">
              <w:rPr>
                <w:rStyle w:val="s0"/>
              </w:rPr>
              <w:t>2</w:t>
            </w:r>
            <w:r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C1F7" w14:textId="77777777" w:rsidR="00CF7379" w:rsidRDefault="00CF7379" w:rsidP="00CF7379">
            <w:r>
              <w:t>Предоставление письменного объяснения на имя руководства предприятия от непосредственного руководителя и работника, либо работника, совершившего коррупционное правонарушение, независимо от того, согласны или не согласны с вышеуказанным фактом правонарушения.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0C41" w14:textId="77777777" w:rsidR="00CF7379" w:rsidRDefault="00CF7379" w:rsidP="00CF7379">
            <w:pPr>
              <w:jc w:val="center"/>
            </w:pPr>
            <w:r>
              <w:t>В течении 2-х рабочих дней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E643" w14:textId="77777777" w:rsidR="00CF7379" w:rsidRPr="00A146CB" w:rsidRDefault="00CF7379" w:rsidP="00CF7379">
            <w:pPr>
              <w:jc w:val="center"/>
              <w:rPr>
                <w:rStyle w:val="s0"/>
              </w:rPr>
            </w:pPr>
            <w:r w:rsidRPr="00A146CB">
              <w:rPr>
                <w:rStyle w:val="s0"/>
              </w:rPr>
              <w:t>Информация</w:t>
            </w:r>
            <w:r w:rsidRPr="00A146CB">
              <w:t xml:space="preserve"> </w:t>
            </w:r>
            <w:r>
              <w:t xml:space="preserve">Председателю КВК и Н 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9194" w14:textId="77777777" w:rsidR="00CF7379" w:rsidRDefault="00CF7379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Генеральный директор Комплаенс-служба</w:t>
            </w:r>
          </w:p>
          <w:p w14:paraId="6C7A8A31" w14:textId="77777777" w:rsidR="00CF7379" w:rsidRDefault="00CF7379" w:rsidP="00CF7379">
            <w:pPr>
              <w:jc w:val="center"/>
              <w:rPr>
                <w:rStyle w:val="s0"/>
              </w:rPr>
            </w:pP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792E" w14:textId="77777777" w:rsidR="00CF7379" w:rsidRPr="00A146CB" w:rsidRDefault="00CF7379" w:rsidP="00CF7379">
            <w:pPr>
              <w:jc w:val="center"/>
              <w:rPr>
                <w:rStyle w:val="s0"/>
              </w:rPr>
            </w:pPr>
          </w:p>
        </w:tc>
      </w:tr>
      <w:tr w:rsidR="00CF7379" w:rsidRPr="00A146CB" w14:paraId="35340623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87DD" w14:textId="4D1A73ED" w:rsidR="00CF7379" w:rsidRPr="00A146CB" w:rsidRDefault="00CF7379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2</w:t>
            </w:r>
            <w:r w:rsidR="001944C3">
              <w:rPr>
                <w:rStyle w:val="s0"/>
              </w:rPr>
              <w:t>3</w:t>
            </w:r>
            <w:r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F363" w14:textId="77777777" w:rsidR="00CF7379" w:rsidRDefault="00CF7379" w:rsidP="00CF7379">
            <w:r>
              <w:t>Предоставление информации о ходе проведения досудебного расследования в рамках совершенного коррупционного преступления, а также по приговору суда вступившего в законную силу к ответственности за совершение коррупционного правонарушения либо прекращения судом уголовного дела по не реабилитирующим основаниям принятие мер по рассмотрению дисциплинарной ответственности его руководителя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0F74" w14:textId="77777777" w:rsidR="00CF7379" w:rsidRPr="00A146CB" w:rsidRDefault="00CF7379" w:rsidP="00CF7379">
            <w:pPr>
              <w:jc w:val="center"/>
            </w:pPr>
            <w:r>
              <w:t xml:space="preserve">В постоянном режиме 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2C3F6" w14:textId="77777777" w:rsidR="00CF7379" w:rsidRPr="00A146CB" w:rsidRDefault="00CF7379" w:rsidP="00CF7379">
            <w:pPr>
              <w:jc w:val="center"/>
              <w:rPr>
                <w:rStyle w:val="s0"/>
              </w:rPr>
            </w:pPr>
            <w:r w:rsidRPr="008057FB">
              <w:rPr>
                <w:rStyle w:val="s0"/>
              </w:rPr>
              <w:t xml:space="preserve">Информация </w:t>
            </w:r>
            <w:r>
              <w:rPr>
                <w:rStyle w:val="s0"/>
              </w:rPr>
              <w:t>Председателю КВК и Н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80B8" w14:textId="77777777" w:rsidR="00CF7379" w:rsidRDefault="00CF7379" w:rsidP="00CF7379">
            <w:pPr>
              <w:jc w:val="center"/>
            </w:pPr>
            <w:r>
              <w:t>Генеральный директор</w:t>
            </w:r>
            <w:r w:rsidRPr="008057FB">
              <w:t xml:space="preserve"> </w:t>
            </w:r>
            <w:r>
              <w:t>Комплаенс-служба</w:t>
            </w:r>
          </w:p>
          <w:p w14:paraId="611AF034" w14:textId="77777777" w:rsidR="00CF7379" w:rsidRDefault="00CF7379" w:rsidP="00CF7379">
            <w:pPr>
              <w:jc w:val="center"/>
            </w:pPr>
            <w:r>
              <w:t xml:space="preserve"> ОПО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E12B" w14:textId="77777777" w:rsidR="00CF7379" w:rsidRPr="00A146CB" w:rsidRDefault="00CF7379" w:rsidP="00CF7379">
            <w:pPr>
              <w:jc w:val="center"/>
              <w:rPr>
                <w:rStyle w:val="s0"/>
              </w:rPr>
            </w:pPr>
          </w:p>
        </w:tc>
      </w:tr>
      <w:tr w:rsidR="00CF7379" w:rsidRPr="00A146CB" w14:paraId="12ADD2E8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4C8D" w14:textId="091BE744" w:rsidR="00CF7379" w:rsidRDefault="00CF7379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lastRenderedPageBreak/>
              <w:t>2</w:t>
            </w:r>
            <w:r w:rsidR="001944C3">
              <w:rPr>
                <w:rStyle w:val="s0"/>
              </w:rPr>
              <w:t>4</w:t>
            </w:r>
            <w:r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7CE9" w14:textId="77777777" w:rsidR="00CF7379" w:rsidRDefault="00CF7379" w:rsidP="00CF7379">
            <w:r>
              <w:t xml:space="preserve">Рассмотрение дисциплинарной ответственности руководителя подчиненного работника, совершившего коррупционное правонарушение, а также ответственность работника, совершившего указанное правонарушение 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DF9F" w14:textId="77777777" w:rsidR="00CF7379" w:rsidRDefault="00CF7379" w:rsidP="00CF7379">
            <w:pPr>
              <w:jc w:val="center"/>
            </w:pPr>
            <w:r>
              <w:t>В течении 5-ти рабочих дней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C9C99" w14:textId="77777777" w:rsidR="00CF7379" w:rsidRPr="008057FB" w:rsidRDefault="00CF7379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Информация Председателю КВК и Н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5826" w14:textId="77777777" w:rsidR="00CF7379" w:rsidRDefault="00CF7379" w:rsidP="00CF7379">
            <w:pPr>
              <w:jc w:val="center"/>
            </w:pPr>
            <w:r>
              <w:t>Генеральный директор</w:t>
            </w:r>
            <w:r w:rsidRPr="008057FB">
              <w:t xml:space="preserve"> </w:t>
            </w:r>
            <w:r>
              <w:t>Комплаенс-служба</w:t>
            </w:r>
          </w:p>
          <w:p w14:paraId="2A9276FC" w14:textId="77777777" w:rsidR="00CF7379" w:rsidRPr="008057FB" w:rsidRDefault="00CF7379" w:rsidP="00CF7379">
            <w:pPr>
              <w:jc w:val="center"/>
            </w:pPr>
            <w:r>
              <w:t>ОО и КР, ОПО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5878" w14:textId="77777777" w:rsidR="00CF7379" w:rsidRPr="00A146CB" w:rsidRDefault="00CF7379" w:rsidP="00CF7379">
            <w:pPr>
              <w:jc w:val="center"/>
              <w:rPr>
                <w:rStyle w:val="s0"/>
              </w:rPr>
            </w:pPr>
          </w:p>
        </w:tc>
      </w:tr>
      <w:tr w:rsidR="00CF7379" w:rsidRPr="00A146CB" w14:paraId="6A9277C4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0C38E" w14:textId="71F7C626" w:rsidR="00CF7379" w:rsidRPr="00A146CB" w:rsidRDefault="00CF7379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2</w:t>
            </w:r>
            <w:r w:rsidR="001944C3">
              <w:rPr>
                <w:rStyle w:val="s0"/>
              </w:rPr>
              <w:t>5</w:t>
            </w:r>
            <w:r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FE0C" w14:textId="77777777" w:rsidR="00CF7379" w:rsidRPr="00242D5E" w:rsidRDefault="00CF7379" w:rsidP="00CF7379">
            <w:r w:rsidRPr="00242D5E">
              <w:t xml:space="preserve">Исполнение алгоритма действий по реализации института отставки и привлечения к ответственности руководителей за совершение их подчиненными коррупционных </w:t>
            </w:r>
            <w:r>
              <w:t>правонарушений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D591" w14:textId="77777777" w:rsidR="00CF7379" w:rsidRPr="00242D5E" w:rsidRDefault="00CF7379" w:rsidP="00CF7379">
            <w:pPr>
              <w:jc w:val="center"/>
            </w:pPr>
            <w:r w:rsidRPr="00242D5E">
              <w:t xml:space="preserve">После вступления в законную силу судебного акта в течении 15 суток 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1941" w14:textId="77777777" w:rsidR="00CF7379" w:rsidRPr="00242D5E" w:rsidRDefault="00CF7379" w:rsidP="00CF7379">
            <w:pPr>
              <w:jc w:val="center"/>
              <w:rPr>
                <w:rStyle w:val="s0"/>
              </w:rPr>
            </w:pPr>
            <w:r w:rsidRPr="00242D5E">
              <w:rPr>
                <w:rStyle w:val="s0"/>
              </w:rPr>
              <w:t xml:space="preserve">Приказ 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BCF0" w14:textId="77777777" w:rsidR="00CF7379" w:rsidRPr="00242D5E" w:rsidRDefault="00CF7379" w:rsidP="00CF7379">
            <w:pPr>
              <w:jc w:val="center"/>
              <w:rPr>
                <w:rStyle w:val="s0"/>
              </w:rPr>
            </w:pPr>
            <w:r>
              <w:t>Генеральный директор Комплаенс-служба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136F" w14:textId="77777777" w:rsidR="00CF7379" w:rsidRPr="00A146CB" w:rsidRDefault="00CF7379" w:rsidP="00CF7379">
            <w:pPr>
              <w:jc w:val="center"/>
              <w:rPr>
                <w:rStyle w:val="s0"/>
              </w:rPr>
            </w:pPr>
          </w:p>
        </w:tc>
      </w:tr>
      <w:tr w:rsidR="00CF7379" w:rsidRPr="00A146CB" w14:paraId="495085D4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9085" w14:textId="55FA0CB7" w:rsidR="00CF7379" w:rsidRPr="00242D5E" w:rsidRDefault="00CF7379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2</w:t>
            </w:r>
            <w:r w:rsidR="001944C3">
              <w:rPr>
                <w:rStyle w:val="s0"/>
              </w:rPr>
              <w:t>6</w:t>
            </w:r>
            <w:r w:rsidRPr="00242D5E"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9EA86" w14:textId="77777777" w:rsidR="00CF7379" w:rsidRPr="00242D5E" w:rsidRDefault="00CF7379" w:rsidP="00CF7379">
            <w:r>
              <w:t>Проведение собрание с коллективом Предприятия с обсуждением информации о совершенном коррупционном правонарушении работника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F6F6" w14:textId="77777777" w:rsidR="00CF7379" w:rsidRPr="00242D5E" w:rsidRDefault="00CF7379" w:rsidP="00CF7379">
            <w:pPr>
              <w:jc w:val="center"/>
            </w:pPr>
            <w:r>
              <w:t>В течении 5-ти рабочих дней</w:t>
            </w: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24DE" w14:textId="77777777" w:rsidR="00CF7379" w:rsidRPr="00242D5E" w:rsidRDefault="00CF7379" w:rsidP="00CF7379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Протокол собрания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28E5" w14:textId="77777777" w:rsidR="00CF7379" w:rsidRDefault="00CF7379" w:rsidP="00CF7379">
            <w:pPr>
              <w:jc w:val="center"/>
              <w:rPr>
                <w:rStyle w:val="s0"/>
              </w:rPr>
            </w:pPr>
            <w:r>
              <w:t>Генеральный директор, Комплаенс-служба</w:t>
            </w:r>
          </w:p>
          <w:p w14:paraId="4999C7A3" w14:textId="77777777" w:rsidR="00CF7379" w:rsidRDefault="00CF7379" w:rsidP="00CF7379">
            <w:pPr>
              <w:jc w:val="center"/>
            </w:pPr>
            <w:r>
              <w:rPr>
                <w:rStyle w:val="s0"/>
              </w:rPr>
              <w:t xml:space="preserve"> </w:t>
            </w:r>
            <w:r w:rsidRPr="00242D5E">
              <w:rPr>
                <w:rStyle w:val="s0"/>
              </w:rPr>
              <w:t>директора филиалов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882A" w14:textId="77777777" w:rsidR="00CF7379" w:rsidRPr="00A146CB" w:rsidRDefault="00CF7379" w:rsidP="00CF7379">
            <w:pPr>
              <w:jc w:val="center"/>
              <w:rPr>
                <w:rStyle w:val="s0"/>
              </w:rPr>
            </w:pPr>
          </w:p>
        </w:tc>
      </w:tr>
      <w:tr w:rsidR="00CF7379" w:rsidRPr="002E7D47" w14:paraId="5A3E86C2" w14:textId="77777777" w:rsidTr="00CF7379">
        <w:tc>
          <w:tcPr>
            <w:tcW w:w="1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F64D" w14:textId="0755E709" w:rsidR="00CF7379" w:rsidRPr="002E7D47" w:rsidRDefault="00CF7379" w:rsidP="00CF7379">
            <w:pPr>
              <w:jc w:val="center"/>
              <w:rPr>
                <w:rStyle w:val="s0"/>
                <w:highlight w:val="yellow"/>
              </w:rPr>
            </w:pPr>
            <w:r w:rsidRPr="00E0306B">
              <w:rPr>
                <w:rStyle w:val="s0"/>
              </w:rPr>
              <w:t>2</w:t>
            </w:r>
            <w:r w:rsidR="001944C3">
              <w:rPr>
                <w:rStyle w:val="s0"/>
              </w:rPr>
              <w:t>7</w:t>
            </w:r>
            <w:r w:rsidRPr="00E0306B">
              <w:rPr>
                <w:rStyle w:val="s0"/>
              </w:rPr>
              <w:t>.</w:t>
            </w:r>
          </w:p>
        </w:tc>
        <w:tc>
          <w:tcPr>
            <w:tcW w:w="12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AB1B" w14:textId="77777777" w:rsidR="00CF7379" w:rsidRPr="00E8019E" w:rsidRDefault="00CF7379" w:rsidP="00CF7379">
            <w:pPr>
              <w:pStyle w:val="1"/>
              <w:spacing w:before="300" w:beforeAutospacing="0" w:after="150" w:afterAutospacing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Предоставление обзорной информации по результатам </w:t>
            </w:r>
            <w:r w:rsidRPr="00E8019E">
              <w:rPr>
                <w:b w:val="0"/>
                <w:sz w:val="24"/>
                <w:szCs w:val="24"/>
              </w:rPr>
              <w:t>внутреннего анализа коррупционных рисков</w:t>
            </w:r>
            <w:r>
              <w:rPr>
                <w:b w:val="0"/>
                <w:sz w:val="24"/>
                <w:szCs w:val="24"/>
              </w:rPr>
              <w:t xml:space="preserve"> по Предприятию.</w:t>
            </w:r>
            <w:r w:rsidRPr="00E8019E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>Обеспечение публичного раскрытия информации о результатах данного анализа</w:t>
            </w:r>
          </w:p>
          <w:p w14:paraId="6AAC216B" w14:textId="77777777" w:rsidR="00CF7379" w:rsidRPr="00E8019E" w:rsidRDefault="00CF7379" w:rsidP="00CF7379"/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F450" w14:textId="0372F86D" w:rsidR="00CF7379" w:rsidRPr="003C1FB3" w:rsidRDefault="00CF7379" w:rsidP="00CF7379">
            <w:pPr>
              <w:jc w:val="center"/>
            </w:pPr>
          </w:p>
        </w:tc>
        <w:tc>
          <w:tcPr>
            <w:tcW w:w="8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973A" w14:textId="77777777" w:rsidR="00CF7379" w:rsidRPr="003C1FB3" w:rsidRDefault="00CF7379" w:rsidP="00CF7379">
            <w:pPr>
              <w:jc w:val="center"/>
              <w:rPr>
                <w:rStyle w:val="s0"/>
              </w:rPr>
            </w:pPr>
            <w:r w:rsidRPr="003C1FB3">
              <w:rPr>
                <w:rStyle w:val="s0"/>
              </w:rPr>
              <w:t>Информация Генеральному директору</w:t>
            </w:r>
          </w:p>
        </w:tc>
        <w:tc>
          <w:tcPr>
            <w:tcW w:w="119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50B4" w14:textId="77777777" w:rsidR="00CF7379" w:rsidRPr="003C1FB3" w:rsidRDefault="00CF7379" w:rsidP="00CF7379">
            <w:pPr>
              <w:jc w:val="center"/>
            </w:pPr>
            <w:r>
              <w:t xml:space="preserve">Комплаенс-служба </w:t>
            </w:r>
          </w:p>
        </w:tc>
        <w:tc>
          <w:tcPr>
            <w:tcW w:w="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F1EA" w14:textId="77777777" w:rsidR="00CF7379" w:rsidRPr="008F5C28" w:rsidRDefault="00CF7379" w:rsidP="00CF7379">
            <w:pPr>
              <w:jc w:val="center"/>
              <w:rPr>
                <w:highlight w:val="green"/>
              </w:rPr>
            </w:pPr>
          </w:p>
        </w:tc>
      </w:tr>
      <w:tr w:rsidR="00CF7379" w:rsidRPr="00A146CB" w14:paraId="2FFF2B7F" w14:textId="77777777" w:rsidTr="00183E47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97C5" w14:textId="6CB12830" w:rsidR="00E606DD" w:rsidRPr="000E491A" w:rsidRDefault="00E606DD" w:rsidP="00CF7379">
            <w:pPr>
              <w:jc w:val="center"/>
              <w:rPr>
                <w:b/>
                <w:i/>
              </w:rPr>
            </w:pPr>
          </w:p>
        </w:tc>
      </w:tr>
    </w:tbl>
    <w:p w14:paraId="1F30476F" w14:textId="77777777" w:rsidR="001C5D38" w:rsidRPr="00DD576A" w:rsidRDefault="001C5D38" w:rsidP="00E606DD">
      <w:pPr>
        <w:rPr>
          <w:b/>
          <w:sz w:val="28"/>
          <w:szCs w:val="28"/>
        </w:rPr>
      </w:pPr>
    </w:p>
    <w:sectPr w:rsidR="001C5D38" w:rsidRPr="00DD576A" w:rsidSect="00F66CA6">
      <w:footerReference w:type="default" r:id="rId8"/>
      <w:pgSz w:w="16838" w:h="11906" w:orient="landscape"/>
      <w:pgMar w:top="709" w:right="85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1388" w14:textId="77777777" w:rsidR="00CA3A31" w:rsidRDefault="00CA3A31" w:rsidP="00DA5BF4">
      <w:r>
        <w:separator/>
      </w:r>
    </w:p>
  </w:endnote>
  <w:endnote w:type="continuationSeparator" w:id="0">
    <w:p w14:paraId="40A1E91F" w14:textId="77777777" w:rsidR="00CA3A31" w:rsidRDefault="00CA3A31" w:rsidP="00DA5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F5F2" w14:textId="77777777" w:rsidR="008C11F6" w:rsidRDefault="008C11F6" w:rsidP="00DA5BF4">
    <w:pPr>
      <w:pStyle w:val="a7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A726CC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EF4F" w14:textId="77777777" w:rsidR="00CA3A31" w:rsidRDefault="00CA3A31" w:rsidP="00DA5BF4">
      <w:r>
        <w:separator/>
      </w:r>
    </w:p>
  </w:footnote>
  <w:footnote w:type="continuationSeparator" w:id="0">
    <w:p w14:paraId="0188F173" w14:textId="77777777" w:rsidR="00CA3A31" w:rsidRDefault="00CA3A31" w:rsidP="00DA5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21C6A"/>
    <w:multiLevelType w:val="hybridMultilevel"/>
    <w:tmpl w:val="E572CA4C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56C"/>
    <w:multiLevelType w:val="hybridMultilevel"/>
    <w:tmpl w:val="495E2E5A"/>
    <w:lvl w:ilvl="0" w:tplc="61628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9F"/>
    <w:rsid w:val="00015BC5"/>
    <w:rsid w:val="000202A3"/>
    <w:rsid w:val="00043D1E"/>
    <w:rsid w:val="00044175"/>
    <w:rsid w:val="0004657C"/>
    <w:rsid w:val="00062C01"/>
    <w:rsid w:val="0006334D"/>
    <w:rsid w:val="00071E63"/>
    <w:rsid w:val="00077617"/>
    <w:rsid w:val="00084E1C"/>
    <w:rsid w:val="00086516"/>
    <w:rsid w:val="000930B8"/>
    <w:rsid w:val="000A0CF4"/>
    <w:rsid w:val="000B2E3C"/>
    <w:rsid w:val="000B31C0"/>
    <w:rsid w:val="000D0D7F"/>
    <w:rsid w:val="000E491A"/>
    <w:rsid w:val="00116605"/>
    <w:rsid w:val="00121C44"/>
    <w:rsid w:val="00121C88"/>
    <w:rsid w:val="001277A8"/>
    <w:rsid w:val="00135AFE"/>
    <w:rsid w:val="00137371"/>
    <w:rsid w:val="001402F2"/>
    <w:rsid w:val="001445AC"/>
    <w:rsid w:val="001736B2"/>
    <w:rsid w:val="00183E47"/>
    <w:rsid w:val="00193F63"/>
    <w:rsid w:val="001944C3"/>
    <w:rsid w:val="001A75AE"/>
    <w:rsid w:val="001B28B5"/>
    <w:rsid w:val="001C42A2"/>
    <w:rsid w:val="001C5D38"/>
    <w:rsid w:val="001D6178"/>
    <w:rsid w:val="001E6E39"/>
    <w:rsid w:val="001F780F"/>
    <w:rsid w:val="0020088A"/>
    <w:rsid w:val="0021402B"/>
    <w:rsid w:val="00234F74"/>
    <w:rsid w:val="00236854"/>
    <w:rsid w:val="00241AD2"/>
    <w:rsid w:val="00242D5E"/>
    <w:rsid w:val="00247FEB"/>
    <w:rsid w:val="00256EAB"/>
    <w:rsid w:val="00271F5D"/>
    <w:rsid w:val="00276E34"/>
    <w:rsid w:val="00290C7E"/>
    <w:rsid w:val="00295C0C"/>
    <w:rsid w:val="002A7D0B"/>
    <w:rsid w:val="002B2748"/>
    <w:rsid w:val="002B286B"/>
    <w:rsid w:val="002B48D2"/>
    <w:rsid w:val="002B57E4"/>
    <w:rsid w:val="002C58D6"/>
    <w:rsid w:val="002C61C0"/>
    <w:rsid w:val="002C654B"/>
    <w:rsid w:val="002E7D47"/>
    <w:rsid w:val="002F71D1"/>
    <w:rsid w:val="002F7CCE"/>
    <w:rsid w:val="00303E20"/>
    <w:rsid w:val="00307845"/>
    <w:rsid w:val="003218B3"/>
    <w:rsid w:val="00322ECE"/>
    <w:rsid w:val="003335F9"/>
    <w:rsid w:val="003552D9"/>
    <w:rsid w:val="003801D5"/>
    <w:rsid w:val="00386CA3"/>
    <w:rsid w:val="00387996"/>
    <w:rsid w:val="003A1F2E"/>
    <w:rsid w:val="003C1FB3"/>
    <w:rsid w:val="003D5ADE"/>
    <w:rsid w:val="003D6433"/>
    <w:rsid w:val="003E01C5"/>
    <w:rsid w:val="003E01F2"/>
    <w:rsid w:val="003E077E"/>
    <w:rsid w:val="003E3D6E"/>
    <w:rsid w:val="003F25D9"/>
    <w:rsid w:val="00401F4E"/>
    <w:rsid w:val="00403002"/>
    <w:rsid w:val="00405C82"/>
    <w:rsid w:val="004128D3"/>
    <w:rsid w:val="004173B0"/>
    <w:rsid w:val="0041782F"/>
    <w:rsid w:val="00427390"/>
    <w:rsid w:val="00430457"/>
    <w:rsid w:val="00435767"/>
    <w:rsid w:val="00445E2E"/>
    <w:rsid w:val="00462CC1"/>
    <w:rsid w:val="0047220C"/>
    <w:rsid w:val="00492C0A"/>
    <w:rsid w:val="00493096"/>
    <w:rsid w:val="004A10CA"/>
    <w:rsid w:val="004A14A8"/>
    <w:rsid w:val="004A4373"/>
    <w:rsid w:val="004C7181"/>
    <w:rsid w:val="004D0F98"/>
    <w:rsid w:val="00505704"/>
    <w:rsid w:val="0051579F"/>
    <w:rsid w:val="00520B7B"/>
    <w:rsid w:val="005270DF"/>
    <w:rsid w:val="00531129"/>
    <w:rsid w:val="005318DD"/>
    <w:rsid w:val="005456FA"/>
    <w:rsid w:val="00547495"/>
    <w:rsid w:val="005678BB"/>
    <w:rsid w:val="00591067"/>
    <w:rsid w:val="00593A1E"/>
    <w:rsid w:val="005B26DA"/>
    <w:rsid w:val="005D1508"/>
    <w:rsid w:val="005D4670"/>
    <w:rsid w:val="005F24C9"/>
    <w:rsid w:val="006027CC"/>
    <w:rsid w:val="006033C0"/>
    <w:rsid w:val="00611E2C"/>
    <w:rsid w:val="0061719F"/>
    <w:rsid w:val="00623ADC"/>
    <w:rsid w:val="00626B57"/>
    <w:rsid w:val="006340A0"/>
    <w:rsid w:val="00651AE6"/>
    <w:rsid w:val="00660772"/>
    <w:rsid w:val="006672B4"/>
    <w:rsid w:val="00673EC8"/>
    <w:rsid w:val="006761DE"/>
    <w:rsid w:val="00677666"/>
    <w:rsid w:val="00687393"/>
    <w:rsid w:val="006A33DE"/>
    <w:rsid w:val="006A7F3F"/>
    <w:rsid w:val="006C5EA7"/>
    <w:rsid w:val="006D6546"/>
    <w:rsid w:val="006D6822"/>
    <w:rsid w:val="006F6E30"/>
    <w:rsid w:val="007040A9"/>
    <w:rsid w:val="007129A9"/>
    <w:rsid w:val="007139D7"/>
    <w:rsid w:val="00731A23"/>
    <w:rsid w:val="007342D4"/>
    <w:rsid w:val="00741748"/>
    <w:rsid w:val="007501DF"/>
    <w:rsid w:val="00767FAB"/>
    <w:rsid w:val="007704AF"/>
    <w:rsid w:val="0078364A"/>
    <w:rsid w:val="00793CE1"/>
    <w:rsid w:val="00794928"/>
    <w:rsid w:val="007B07B5"/>
    <w:rsid w:val="007B3151"/>
    <w:rsid w:val="007B7343"/>
    <w:rsid w:val="007C05EB"/>
    <w:rsid w:val="007D09B1"/>
    <w:rsid w:val="007F3ACC"/>
    <w:rsid w:val="008057FB"/>
    <w:rsid w:val="0080741D"/>
    <w:rsid w:val="00812321"/>
    <w:rsid w:val="00816596"/>
    <w:rsid w:val="00837AC0"/>
    <w:rsid w:val="008519E2"/>
    <w:rsid w:val="00865D47"/>
    <w:rsid w:val="00887174"/>
    <w:rsid w:val="008B599F"/>
    <w:rsid w:val="008C11F6"/>
    <w:rsid w:val="008C1F32"/>
    <w:rsid w:val="008C7537"/>
    <w:rsid w:val="008D14E6"/>
    <w:rsid w:val="008D75D4"/>
    <w:rsid w:val="008F4EEF"/>
    <w:rsid w:val="008F5C28"/>
    <w:rsid w:val="008F61F2"/>
    <w:rsid w:val="00900CFC"/>
    <w:rsid w:val="009136FF"/>
    <w:rsid w:val="00924031"/>
    <w:rsid w:val="009407F8"/>
    <w:rsid w:val="00981F3B"/>
    <w:rsid w:val="009A3EE2"/>
    <w:rsid w:val="009B0245"/>
    <w:rsid w:val="009B483E"/>
    <w:rsid w:val="009D261D"/>
    <w:rsid w:val="009D66F4"/>
    <w:rsid w:val="009E39DD"/>
    <w:rsid w:val="009E70F1"/>
    <w:rsid w:val="009F4C54"/>
    <w:rsid w:val="00A00E0F"/>
    <w:rsid w:val="00A04F77"/>
    <w:rsid w:val="00A04F7F"/>
    <w:rsid w:val="00A111CA"/>
    <w:rsid w:val="00A1297A"/>
    <w:rsid w:val="00A146CB"/>
    <w:rsid w:val="00A21F58"/>
    <w:rsid w:val="00A30B46"/>
    <w:rsid w:val="00A42B93"/>
    <w:rsid w:val="00A609BA"/>
    <w:rsid w:val="00A65C3D"/>
    <w:rsid w:val="00A726CC"/>
    <w:rsid w:val="00A90187"/>
    <w:rsid w:val="00A9117B"/>
    <w:rsid w:val="00AC4228"/>
    <w:rsid w:val="00AF4ACF"/>
    <w:rsid w:val="00AF4B60"/>
    <w:rsid w:val="00AF7AE0"/>
    <w:rsid w:val="00B1190D"/>
    <w:rsid w:val="00B17B6F"/>
    <w:rsid w:val="00B4132A"/>
    <w:rsid w:val="00B449D6"/>
    <w:rsid w:val="00B53673"/>
    <w:rsid w:val="00B65123"/>
    <w:rsid w:val="00B677B4"/>
    <w:rsid w:val="00B823A0"/>
    <w:rsid w:val="00B93915"/>
    <w:rsid w:val="00B95522"/>
    <w:rsid w:val="00B97E4E"/>
    <w:rsid w:val="00BC3A77"/>
    <w:rsid w:val="00BC7395"/>
    <w:rsid w:val="00BD0220"/>
    <w:rsid w:val="00BF3718"/>
    <w:rsid w:val="00C13777"/>
    <w:rsid w:val="00C2242B"/>
    <w:rsid w:val="00C34E15"/>
    <w:rsid w:val="00C73BED"/>
    <w:rsid w:val="00C7697B"/>
    <w:rsid w:val="00C80AEC"/>
    <w:rsid w:val="00C866B6"/>
    <w:rsid w:val="00C9152D"/>
    <w:rsid w:val="00CA3A31"/>
    <w:rsid w:val="00CA7A53"/>
    <w:rsid w:val="00CE215B"/>
    <w:rsid w:val="00CF7379"/>
    <w:rsid w:val="00D1109F"/>
    <w:rsid w:val="00D133A0"/>
    <w:rsid w:val="00D33920"/>
    <w:rsid w:val="00D501A7"/>
    <w:rsid w:val="00D61C42"/>
    <w:rsid w:val="00D65879"/>
    <w:rsid w:val="00D72234"/>
    <w:rsid w:val="00D749C1"/>
    <w:rsid w:val="00D90DE2"/>
    <w:rsid w:val="00D9198C"/>
    <w:rsid w:val="00DA5BF4"/>
    <w:rsid w:val="00DD576A"/>
    <w:rsid w:val="00DD633B"/>
    <w:rsid w:val="00DF05E6"/>
    <w:rsid w:val="00E02906"/>
    <w:rsid w:val="00E0306B"/>
    <w:rsid w:val="00E11035"/>
    <w:rsid w:val="00E274DD"/>
    <w:rsid w:val="00E34BE5"/>
    <w:rsid w:val="00E36151"/>
    <w:rsid w:val="00E606DD"/>
    <w:rsid w:val="00E721A0"/>
    <w:rsid w:val="00E8019E"/>
    <w:rsid w:val="00E9726F"/>
    <w:rsid w:val="00EA2616"/>
    <w:rsid w:val="00EC064F"/>
    <w:rsid w:val="00EC73F9"/>
    <w:rsid w:val="00EF0659"/>
    <w:rsid w:val="00EF15FF"/>
    <w:rsid w:val="00EF2C52"/>
    <w:rsid w:val="00EF7483"/>
    <w:rsid w:val="00F063F5"/>
    <w:rsid w:val="00F11537"/>
    <w:rsid w:val="00F115A0"/>
    <w:rsid w:val="00F16CDD"/>
    <w:rsid w:val="00F22BD5"/>
    <w:rsid w:val="00F33E5C"/>
    <w:rsid w:val="00F4163E"/>
    <w:rsid w:val="00F41CBE"/>
    <w:rsid w:val="00F66CA6"/>
    <w:rsid w:val="00F73FB7"/>
    <w:rsid w:val="00F874A1"/>
    <w:rsid w:val="00FB2C68"/>
    <w:rsid w:val="00FB3BBF"/>
    <w:rsid w:val="00FC0274"/>
    <w:rsid w:val="00FE0435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29A46"/>
  <w15:docId w15:val="{212DA4DC-61EE-496E-97A5-BEAFD1F1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8019E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Pr>
      <w:b w:val="0"/>
      <w:bCs w:val="0"/>
      <w:i/>
      <w:iCs/>
      <w:caps w:val="0"/>
      <w:color w:val="000000"/>
    </w:rPr>
  </w:style>
  <w:style w:type="character" w:customStyle="1" w:styleId="s17">
    <w:name w:val="s17"/>
    <w:rPr>
      <w:b w:val="0"/>
      <w:bCs w:val="0"/>
      <w:color w:val="000000"/>
    </w:rPr>
  </w:style>
  <w:style w:type="character" w:customStyle="1" w:styleId="s18">
    <w:name w:val="s18"/>
    <w:rPr>
      <w:b w:val="0"/>
      <w:bCs w:val="0"/>
      <w:color w:val="000000"/>
    </w:rPr>
  </w:style>
  <w:style w:type="character" w:customStyle="1" w:styleId="s11">
    <w:name w:val="s1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Pr>
      <w:rFonts w:ascii="Courier New" w:hAnsi="Courier New" w:cs="Courier New" w:hint="default"/>
      <w:color w:val="008000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DA5B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A5BF4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A5B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A5BF4"/>
    <w:rPr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4F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04F7F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019E"/>
    <w:rPr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rsid w:val="009F4C54"/>
    <w:pPr>
      <w:ind w:left="720"/>
      <w:contextualSpacing/>
    </w:pPr>
    <w:rPr>
      <w:rFonts w:asciiTheme="minorHAnsi" w:eastAsiaTheme="minorHAnsi" w:hAnsi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3DEEA8-5580-438F-809F-7D50ABEB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Министерства здравоохранения и социального развития Республики Казахстан на 2015 -2017 годы по реализации Антикоррупционной стратегии Республики Казахстан на 2015-2025 годы (утвержден приказом Министра здравоохранения и социального развит</vt:lpstr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Министерства здравоохранения и социального развития Республики Казахстан на 2015 -2017 годы по реализации Антикоррупционной стратегии Республики Казахстан на 2015-2025 годы (утвержден приказом Министра здравоохранения и социального развития Республики Казахстан от 8 сентября 2015 года № 708)</dc:title>
  <dc:creator>Габдулла Байдавлетов</dc:creator>
  <cp:lastModifiedBy>NewUser</cp:lastModifiedBy>
  <cp:revision>19</cp:revision>
  <cp:lastPrinted>2026-02-17T04:15:00Z</cp:lastPrinted>
  <dcterms:created xsi:type="dcterms:W3CDTF">2025-01-05T07:32:00Z</dcterms:created>
  <dcterms:modified xsi:type="dcterms:W3CDTF">2026-02-25T05:24:00Z</dcterms:modified>
</cp:coreProperties>
</file>